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E3" w:rsidRPr="00D968C5" w:rsidRDefault="001D63E3" w:rsidP="001D63E3">
      <w:pPr>
        <w:rPr>
          <w:rFonts w:ascii="Arial" w:hAnsi="Arial" w:cs="Arial"/>
          <w:b/>
          <w:bCs/>
          <w:sz w:val="20"/>
          <w:szCs w:val="20"/>
          <w:u w:val="single"/>
        </w:rPr>
      </w:pPr>
      <w:r w:rsidRPr="00D968C5">
        <w:rPr>
          <w:rFonts w:ascii="Arial" w:hAnsi="Arial" w:cs="Arial"/>
          <w:b/>
          <w:bCs/>
          <w:sz w:val="20"/>
          <w:szCs w:val="20"/>
          <w:u w:val="single"/>
        </w:rPr>
        <w:t xml:space="preserve">1. International Monetary Fund (I.M.F.) or </w:t>
      </w:r>
      <w:proofErr w:type="gramStart"/>
      <w:r w:rsidRPr="00D968C5">
        <w:rPr>
          <w:rFonts w:ascii="Arial" w:hAnsi="Arial" w:cs="Arial"/>
          <w:b/>
          <w:bCs/>
          <w:sz w:val="20"/>
          <w:szCs w:val="20"/>
          <w:u w:val="single"/>
        </w:rPr>
        <w:t>The</w:t>
      </w:r>
      <w:proofErr w:type="gramEnd"/>
      <w:r w:rsidRPr="00D968C5">
        <w:rPr>
          <w:rFonts w:ascii="Arial" w:hAnsi="Arial" w:cs="Arial"/>
          <w:b/>
          <w:bCs/>
          <w:sz w:val="20"/>
          <w:szCs w:val="20"/>
          <w:u w:val="single"/>
        </w:rPr>
        <w:t xml:space="preserve"> Fund</w:t>
      </w:r>
    </w:p>
    <w:p w:rsidR="001D63E3" w:rsidRPr="00D968C5" w:rsidRDefault="001D63E3" w:rsidP="001D63E3">
      <w:pPr>
        <w:rPr>
          <w:rFonts w:ascii="Arial" w:hAnsi="Arial" w:cs="Arial"/>
          <w:sz w:val="20"/>
          <w:szCs w:val="20"/>
        </w:rPr>
      </w:pPr>
    </w:p>
    <w:p w:rsidR="001D63E3" w:rsidRPr="00D968C5" w:rsidRDefault="001D63E3" w:rsidP="001D63E3">
      <w:pPr>
        <w:rPr>
          <w:rFonts w:ascii="Arial" w:hAnsi="Arial" w:cs="Arial"/>
          <w:b/>
          <w:bCs/>
          <w:sz w:val="20"/>
          <w:szCs w:val="20"/>
          <w:u w:val="single"/>
        </w:rPr>
      </w:pPr>
      <w:r w:rsidRPr="00D968C5">
        <w:rPr>
          <w:rFonts w:ascii="Arial" w:hAnsi="Arial" w:cs="Arial"/>
          <w:b/>
          <w:bCs/>
          <w:sz w:val="20"/>
          <w:szCs w:val="20"/>
          <w:u w:val="single"/>
        </w:rPr>
        <w:t>Introduction:</w:t>
      </w:r>
    </w:p>
    <w:p w:rsidR="001D63E3" w:rsidRPr="00D968C5" w:rsidRDefault="001D63E3" w:rsidP="001D63E3">
      <w:pPr>
        <w:rPr>
          <w:rFonts w:ascii="Arial" w:hAnsi="Arial" w:cs="Arial"/>
          <w:sz w:val="20"/>
          <w:szCs w:val="20"/>
        </w:rPr>
      </w:pPr>
    </w:p>
    <w:p w:rsidR="001D63E3" w:rsidRPr="00D968C5" w:rsidRDefault="001D63E3" w:rsidP="001D63E3">
      <w:pPr>
        <w:rPr>
          <w:rFonts w:ascii="Arial" w:hAnsi="Arial" w:cs="Arial"/>
          <w:sz w:val="20"/>
          <w:szCs w:val="20"/>
        </w:rPr>
      </w:pPr>
      <w:proofErr w:type="gramStart"/>
      <w:r w:rsidRPr="00D968C5">
        <w:rPr>
          <w:rFonts w:ascii="Arial" w:hAnsi="Arial" w:cs="Arial"/>
          <w:sz w:val="20"/>
          <w:szCs w:val="20"/>
        </w:rPr>
        <w:t xml:space="preserve">The international economic and monetary conference at </w:t>
      </w:r>
      <w:proofErr w:type="spellStart"/>
      <w:r w:rsidRPr="00D968C5">
        <w:rPr>
          <w:rFonts w:ascii="Arial" w:hAnsi="Arial" w:cs="Arial"/>
          <w:sz w:val="20"/>
          <w:szCs w:val="20"/>
        </w:rPr>
        <w:t>Beetton</w:t>
      </w:r>
      <w:proofErr w:type="spellEnd"/>
      <w:r w:rsidRPr="00D968C5">
        <w:rPr>
          <w:rFonts w:ascii="Arial" w:hAnsi="Arial" w:cs="Arial"/>
          <w:sz w:val="20"/>
          <w:szCs w:val="20"/>
        </w:rPr>
        <w:t xml:space="preserve"> Woods in New Hampshire in the U.S.A. at July 1944.</w:t>
      </w:r>
      <w:proofErr w:type="gramEnd"/>
      <w:r w:rsidRPr="00D968C5">
        <w:rPr>
          <w:rFonts w:ascii="Arial" w:hAnsi="Arial" w:cs="Arial"/>
          <w:sz w:val="20"/>
          <w:szCs w:val="20"/>
        </w:rPr>
        <w:t xml:space="preserve"> At the conference, the ‘Keynes’ plan were discussed in detail by 44 countries, and it was decided to start two international financial institution namely</w:t>
      </w:r>
    </w:p>
    <w:p w:rsidR="001D63E3" w:rsidRPr="00D968C5" w:rsidRDefault="001D63E3" w:rsidP="001D63E3">
      <w:pPr>
        <w:numPr>
          <w:ilvl w:val="0"/>
          <w:numId w:val="1"/>
        </w:numPr>
        <w:rPr>
          <w:rFonts w:ascii="Arial" w:hAnsi="Arial" w:cs="Arial"/>
          <w:sz w:val="20"/>
          <w:szCs w:val="20"/>
        </w:rPr>
      </w:pPr>
      <w:r w:rsidRPr="00D968C5">
        <w:rPr>
          <w:rFonts w:ascii="Arial" w:hAnsi="Arial" w:cs="Arial"/>
          <w:sz w:val="20"/>
          <w:szCs w:val="20"/>
        </w:rPr>
        <w:t>International Monetary Fund and</w:t>
      </w:r>
    </w:p>
    <w:p w:rsidR="001D63E3" w:rsidRPr="00D968C5" w:rsidRDefault="001D63E3" w:rsidP="001D63E3">
      <w:pPr>
        <w:numPr>
          <w:ilvl w:val="0"/>
          <w:numId w:val="1"/>
        </w:numPr>
        <w:rPr>
          <w:rFonts w:ascii="Arial" w:hAnsi="Arial" w:cs="Arial"/>
          <w:sz w:val="20"/>
          <w:szCs w:val="20"/>
        </w:rPr>
      </w:pPr>
      <w:r w:rsidRPr="00D968C5">
        <w:rPr>
          <w:rFonts w:ascii="Arial" w:hAnsi="Arial" w:cs="Arial"/>
          <w:sz w:val="20"/>
          <w:szCs w:val="20"/>
        </w:rPr>
        <w:t>The International Bank for Reconstruction and Development for helping member countries.</w:t>
      </w:r>
    </w:p>
    <w:p w:rsidR="001D63E3" w:rsidRPr="00D968C5" w:rsidRDefault="001D63E3" w:rsidP="001D63E3">
      <w:pPr>
        <w:rPr>
          <w:rFonts w:ascii="Arial" w:hAnsi="Arial" w:cs="Arial"/>
          <w:sz w:val="20"/>
          <w:szCs w:val="20"/>
        </w:rPr>
      </w:pPr>
    </w:p>
    <w:p w:rsidR="001D63E3" w:rsidRPr="00D968C5" w:rsidRDefault="001D63E3" w:rsidP="001D63E3">
      <w:pPr>
        <w:rPr>
          <w:rFonts w:ascii="Arial" w:hAnsi="Arial" w:cs="Arial"/>
          <w:sz w:val="20"/>
          <w:szCs w:val="20"/>
        </w:rPr>
      </w:pPr>
      <w:proofErr w:type="gramStart"/>
      <w:r w:rsidRPr="00D968C5">
        <w:rPr>
          <w:rFonts w:ascii="Arial" w:hAnsi="Arial" w:cs="Arial"/>
          <w:sz w:val="20"/>
          <w:szCs w:val="20"/>
        </w:rPr>
        <w:t>Objectives of the I.M.F.</w:t>
      </w:r>
      <w:proofErr w:type="gramEnd"/>
    </w:p>
    <w:p w:rsidR="001D63E3" w:rsidRPr="00D968C5" w:rsidRDefault="001D63E3" w:rsidP="001D63E3">
      <w:pPr>
        <w:rPr>
          <w:rFonts w:ascii="Arial" w:hAnsi="Arial" w:cs="Arial"/>
          <w:sz w:val="20"/>
          <w:szCs w:val="20"/>
        </w:rPr>
      </w:pPr>
    </w:p>
    <w:p w:rsidR="001D63E3" w:rsidRPr="00D968C5" w:rsidRDefault="001D63E3" w:rsidP="001D63E3">
      <w:pPr>
        <w:numPr>
          <w:ilvl w:val="0"/>
          <w:numId w:val="2"/>
        </w:numPr>
        <w:rPr>
          <w:rFonts w:ascii="Arial" w:hAnsi="Arial" w:cs="Arial"/>
          <w:sz w:val="20"/>
          <w:szCs w:val="20"/>
        </w:rPr>
      </w:pPr>
      <w:r w:rsidRPr="00D968C5">
        <w:rPr>
          <w:rFonts w:ascii="Arial" w:hAnsi="Arial" w:cs="Arial"/>
          <w:sz w:val="20"/>
          <w:szCs w:val="20"/>
        </w:rPr>
        <w:t>To promote international monetary co-operation for the solution of international monetary problems.</w:t>
      </w:r>
    </w:p>
    <w:p w:rsidR="001D63E3" w:rsidRPr="00D968C5" w:rsidRDefault="001D63E3" w:rsidP="001D63E3">
      <w:pPr>
        <w:numPr>
          <w:ilvl w:val="0"/>
          <w:numId w:val="2"/>
        </w:numPr>
        <w:rPr>
          <w:rFonts w:ascii="Arial" w:hAnsi="Arial" w:cs="Arial"/>
          <w:sz w:val="20"/>
          <w:szCs w:val="20"/>
        </w:rPr>
      </w:pPr>
      <w:r w:rsidRPr="00D968C5">
        <w:rPr>
          <w:rFonts w:ascii="Arial" w:hAnsi="Arial" w:cs="Arial"/>
          <w:sz w:val="20"/>
          <w:szCs w:val="20"/>
        </w:rPr>
        <w:t>To ensure stable exchange rates and avoid competitive exchange depreciation.</w:t>
      </w:r>
    </w:p>
    <w:p w:rsidR="001D63E3" w:rsidRPr="00D968C5" w:rsidRDefault="001D63E3" w:rsidP="001D63E3">
      <w:pPr>
        <w:numPr>
          <w:ilvl w:val="0"/>
          <w:numId w:val="2"/>
        </w:numPr>
        <w:rPr>
          <w:rFonts w:ascii="Arial" w:hAnsi="Arial" w:cs="Arial"/>
          <w:sz w:val="20"/>
          <w:szCs w:val="20"/>
        </w:rPr>
      </w:pPr>
      <w:r w:rsidRPr="00D968C5">
        <w:rPr>
          <w:rFonts w:ascii="Arial" w:hAnsi="Arial" w:cs="Arial"/>
          <w:sz w:val="20"/>
          <w:szCs w:val="20"/>
        </w:rPr>
        <w:t>To eliminate exchange controls</w:t>
      </w:r>
    </w:p>
    <w:p w:rsidR="001D63E3" w:rsidRPr="00D968C5" w:rsidRDefault="001D63E3" w:rsidP="001D63E3">
      <w:pPr>
        <w:numPr>
          <w:ilvl w:val="0"/>
          <w:numId w:val="2"/>
        </w:numPr>
        <w:rPr>
          <w:rFonts w:ascii="Arial" w:hAnsi="Arial" w:cs="Arial"/>
          <w:sz w:val="20"/>
          <w:szCs w:val="20"/>
        </w:rPr>
      </w:pPr>
      <w:r w:rsidRPr="00D968C5">
        <w:rPr>
          <w:rFonts w:ascii="Arial" w:hAnsi="Arial" w:cs="Arial"/>
          <w:sz w:val="20"/>
          <w:szCs w:val="20"/>
        </w:rPr>
        <w:t>To encourage international trade by removing exchange restrictions.</w:t>
      </w:r>
    </w:p>
    <w:p w:rsidR="001D63E3" w:rsidRPr="00D968C5" w:rsidRDefault="001D63E3" w:rsidP="001D63E3">
      <w:pPr>
        <w:numPr>
          <w:ilvl w:val="0"/>
          <w:numId w:val="2"/>
        </w:numPr>
        <w:rPr>
          <w:rFonts w:ascii="Arial" w:hAnsi="Arial" w:cs="Arial"/>
          <w:sz w:val="20"/>
          <w:szCs w:val="20"/>
        </w:rPr>
      </w:pPr>
      <w:r w:rsidRPr="00D968C5">
        <w:rPr>
          <w:rFonts w:ascii="Arial" w:hAnsi="Arial" w:cs="Arial"/>
          <w:sz w:val="20"/>
          <w:szCs w:val="20"/>
        </w:rPr>
        <w:t>To establish multinational trade and payments system.</w:t>
      </w:r>
    </w:p>
    <w:p w:rsidR="001D63E3" w:rsidRPr="00D968C5" w:rsidRDefault="001D63E3" w:rsidP="001D63E3">
      <w:pPr>
        <w:numPr>
          <w:ilvl w:val="0"/>
          <w:numId w:val="2"/>
        </w:numPr>
        <w:jc w:val="both"/>
        <w:rPr>
          <w:rFonts w:ascii="Arial" w:hAnsi="Arial" w:cs="Arial"/>
          <w:sz w:val="20"/>
          <w:szCs w:val="20"/>
        </w:rPr>
      </w:pPr>
      <w:r w:rsidRPr="00D968C5">
        <w:rPr>
          <w:rFonts w:ascii="Arial" w:hAnsi="Arial" w:cs="Arial"/>
          <w:sz w:val="20"/>
          <w:szCs w:val="20"/>
        </w:rPr>
        <w:t>To provide short-term funds to member countries and enable them to correct the temporary deficits in their balance of payments without resorting to measures destructive of national or international propriety.</w:t>
      </w:r>
    </w:p>
    <w:p w:rsidR="001D63E3" w:rsidRPr="00D968C5" w:rsidRDefault="001D63E3" w:rsidP="001D63E3">
      <w:pPr>
        <w:numPr>
          <w:ilvl w:val="0"/>
          <w:numId w:val="2"/>
        </w:numPr>
        <w:jc w:val="both"/>
        <w:rPr>
          <w:rFonts w:ascii="Arial" w:hAnsi="Arial" w:cs="Arial"/>
          <w:sz w:val="20"/>
          <w:szCs w:val="20"/>
        </w:rPr>
      </w:pPr>
      <w:r w:rsidRPr="00D968C5">
        <w:rPr>
          <w:rFonts w:ascii="Arial" w:hAnsi="Arial" w:cs="Arial"/>
          <w:sz w:val="20"/>
          <w:szCs w:val="20"/>
        </w:rPr>
        <w:t>To help the member countries, particularly the backward countries their productive resources, maintain higher levels of employment, secure more national income and achieve balanced economic growth.</w:t>
      </w:r>
    </w:p>
    <w:p w:rsidR="001D63E3" w:rsidRPr="00D968C5" w:rsidRDefault="001D63E3" w:rsidP="001D63E3">
      <w:pPr>
        <w:ind w:left="360"/>
        <w:jc w:val="both"/>
        <w:rPr>
          <w:rFonts w:ascii="Arial" w:hAnsi="Arial" w:cs="Arial"/>
          <w:sz w:val="20"/>
          <w:szCs w:val="20"/>
        </w:rPr>
      </w:pPr>
    </w:p>
    <w:p w:rsidR="001D63E3" w:rsidRPr="00D968C5" w:rsidRDefault="001D63E3" w:rsidP="001D63E3">
      <w:pPr>
        <w:ind w:left="720"/>
        <w:jc w:val="both"/>
        <w:rPr>
          <w:rFonts w:ascii="Arial" w:hAnsi="Arial" w:cs="Arial"/>
          <w:sz w:val="20"/>
          <w:szCs w:val="20"/>
        </w:rPr>
      </w:pPr>
      <w:r w:rsidRPr="00D968C5">
        <w:rPr>
          <w:rFonts w:ascii="Arial" w:hAnsi="Arial" w:cs="Arial"/>
          <w:b/>
          <w:bCs/>
          <w:sz w:val="20"/>
          <w:szCs w:val="20"/>
          <w:u w:val="single"/>
        </w:rPr>
        <w:t>Membership of the Fund:</w:t>
      </w: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 xml:space="preserve">The IMF started functioning with an initial number of 44 members i.e., all the 44 members of the U.N.O. present at the </w:t>
      </w:r>
      <w:proofErr w:type="spellStart"/>
      <w:r w:rsidRPr="00D968C5">
        <w:rPr>
          <w:rFonts w:ascii="Arial" w:hAnsi="Arial" w:cs="Arial"/>
          <w:sz w:val="20"/>
          <w:szCs w:val="20"/>
        </w:rPr>
        <w:t>Bretton</w:t>
      </w:r>
      <w:proofErr w:type="spellEnd"/>
      <w:r w:rsidRPr="00D968C5">
        <w:rPr>
          <w:rFonts w:ascii="Arial" w:hAnsi="Arial" w:cs="Arial"/>
          <w:sz w:val="20"/>
          <w:szCs w:val="20"/>
        </w:rPr>
        <w:t xml:space="preserve"> Woods conference. The IMF has 151 members. New members may be admitted to the Fund at any time at the discretion of the Fund.</w:t>
      </w:r>
    </w:p>
    <w:p w:rsidR="001D63E3" w:rsidRPr="00D968C5" w:rsidRDefault="001D63E3" w:rsidP="001D63E3">
      <w:pPr>
        <w:ind w:left="720"/>
        <w:jc w:val="both"/>
        <w:rPr>
          <w:rFonts w:ascii="Arial" w:hAnsi="Arial" w:cs="Arial"/>
          <w:sz w:val="20"/>
          <w:szCs w:val="20"/>
        </w:rPr>
      </w:pPr>
    </w:p>
    <w:p w:rsidR="001D63E3" w:rsidRPr="00D968C5" w:rsidRDefault="001D63E3" w:rsidP="001D63E3">
      <w:pPr>
        <w:ind w:left="720"/>
        <w:jc w:val="both"/>
        <w:rPr>
          <w:rFonts w:ascii="Arial" w:hAnsi="Arial" w:cs="Arial"/>
          <w:b/>
          <w:bCs/>
          <w:sz w:val="20"/>
          <w:szCs w:val="20"/>
          <w:u w:val="single"/>
        </w:rPr>
      </w:pPr>
      <w:proofErr w:type="spellStart"/>
      <w:r w:rsidRPr="00D968C5">
        <w:rPr>
          <w:rFonts w:ascii="Arial" w:hAnsi="Arial" w:cs="Arial"/>
          <w:b/>
          <w:bCs/>
          <w:sz w:val="20"/>
          <w:szCs w:val="20"/>
          <w:u w:val="single"/>
        </w:rPr>
        <w:t>Organisation</w:t>
      </w:r>
      <w:proofErr w:type="spellEnd"/>
      <w:r w:rsidRPr="00D968C5">
        <w:rPr>
          <w:rFonts w:ascii="Arial" w:hAnsi="Arial" w:cs="Arial"/>
          <w:b/>
          <w:bCs/>
          <w:sz w:val="20"/>
          <w:szCs w:val="20"/>
          <w:u w:val="single"/>
        </w:rPr>
        <w:t xml:space="preserve"> and Management of the Fund:</w:t>
      </w: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 xml:space="preserve">The fund is an autonomous </w:t>
      </w:r>
      <w:proofErr w:type="spellStart"/>
      <w:r w:rsidRPr="00D968C5">
        <w:rPr>
          <w:rFonts w:ascii="Arial" w:hAnsi="Arial" w:cs="Arial"/>
          <w:sz w:val="20"/>
          <w:szCs w:val="20"/>
        </w:rPr>
        <w:t>organisation</w:t>
      </w:r>
      <w:proofErr w:type="spellEnd"/>
      <w:r w:rsidRPr="00D968C5">
        <w:rPr>
          <w:rFonts w:ascii="Arial" w:hAnsi="Arial" w:cs="Arial"/>
          <w:sz w:val="20"/>
          <w:szCs w:val="20"/>
        </w:rPr>
        <w:t>. It is affiliated to the U.N.O. Its headquarters are, at present, located at Washington in the U.S.A.</w:t>
      </w:r>
    </w:p>
    <w:p w:rsidR="001D63E3" w:rsidRPr="00D968C5" w:rsidRDefault="001D63E3" w:rsidP="001D63E3">
      <w:pPr>
        <w:ind w:left="720"/>
        <w:jc w:val="both"/>
        <w:rPr>
          <w:rFonts w:ascii="Arial" w:hAnsi="Arial" w:cs="Arial"/>
          <w:sz w:val="20"/>
          <w:szCs w:val="20"/>
        </w:rPr>
      </w:pP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 xml:space="preserve">The management of the fund is entrusted to a board of Governors, </w:t>
      </w:r>
      <w:proofErr w:type="gramStart"/>
      <w:r w:rsidRPr="00D968C5">
        <w:rPr>
          <w:rFonts w:ascii="Arial" w:hAnsi="Arial" w:cs="Arial"/>
          <w:sz w:val="20"/>
          <w:szCs w:val="20"/>
        </w:rPr>
        <w:t>a Board of Executive directors</w:t>
      </w:r>
      <w:proofErr w:type="gramEnd"/>
      <w:r w:rsidRPr="00D968C5">
        <w:rPr>
          <w:rFonts w:ascii="Arial" w:hAnsi="Arial" w:cs="Arial"/>
          <w:sz w:val="20"/>
          <w:szCs w:val="20"/>
        </w:rPr>
        <w:t>, a managing Directors, a Managing Director and other staff.</w:t>
      </w:r>
    </w:p>
    <w:p w:rsidR="001D63E3" w:rsidRPr="00D968C5" w:rsidRDefault="001D63E3" w:rsidP="001D63E3">
      <w:pPr>
        <w:ind w:left="720"/>
        <w:jc w:val="both"/>
        <w:rPr>
          <w:rFonts w:ascii="Arial" w:hAnsi="Arial" w:cs="Arial"/>
          <w:sz w:val="20"/>
          <w:szCs w:val="20"/>
        </w:rPr>
      </w:pPr>
    </w:p>
    <w:p w:rsidR="001D63E3" w:rsidRPr="00D968C5" w:rsidRDefault="001D63E3" w:rsidP="001D63E3">
      <w:pPr>
        <w:ind w:left="720"/>
        <w:jc w:val="both"/>
        <w:rPr>
          <w:rFonts w:ascii="Arial" w:hAnsi="Arial" w:cs="Arial"/>
          <w:b/>
          <w:bCs/>
          <w:sz w:val="20"/>
          <w:szCs w:val="20"/>
          <w:u w:val="single"/>
        </w:rPr>
      </w:pPr>
      <w:r w:rsidRPr="00D968C5">
        <w:rPr>
          <w:rFonts w:ascii="Arial" w:hAnsi="Arial" w:cs="Arial"/>
          <w:b/>
          <w:bCs/>
          <w:sz w:val="20"/>
          <w:szCs w:val="20"/>
          <w:u w:val="single"/>
        </w:rPr>
        <w:t>Resources of the Fund:</w:t>
      </w: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The contribution of each member country is payable partly in gold or U.S. dollars and partly in its own national currency. The gold part of each member’s contribution is 25% of its quota or 10% of its total gold holdings, which ever is less.</w:t>
      </w:r>
    </w:p>
    <w:p w:rsidR="001D63E3" w:rsidRPr="00D968C5" w:rsidRDefault="001D63E3" w:rsidP="001D63E3">
      <w:pPr>
        <w:ind w:left="720"/>
        <w:jc w:val="both"/>
        <w:rPr>
          <w:rFonts w:ascii="Arial" w:hAnsi="Arial" w:cs="Arial"/>
          <w:sz w:val="20"/>
          <w:szCs w:val="20"/>
        </w:rPr>
      </w:pP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The initial capital of the Fund as per the quotas fixed for the original members was 8,800 million U.S. dollars. The quarters of member countries had been increased from time in order to enable the Fund to increase its resources.</w:t>
      </w:r>
    </w:p>
    <w:p w:rsidR="001D63E3" w:rsidRPr="00D968C5" w:rsidRDefault="001D63E3" w:rsidP="001D63E3">
      <w:pPr>
        <w:jc w:val="both"/>
        <w:rPr>
          <w:rFonts w:ascii="Arial" w:hAnsi="Arial" w:cs="Arial"/>
          <w:sz w:val="20"/>
          <w:szCs w:val="20"/>
        </w:rPr>
      </w:pPr>
    </w:p>
    <w:p w:rsidR="001D63E3" w:rsidRPr="00D968C5" w:rsidRDefault="001D63E3" w:rsidP="001D63E3">
      <w:pPr>
        <w:jc w:val="both"/>
        <w:rPr>
          <w:rFonts w:ascii="Arial" w:hAnsi="Arial" w:cs="Arial"/>
          <w:b/>
          <w:bCs/>
          <w:sz w:val="20"/>
          <w:szCs w:val="20"/>
          <w:u w:val="single"/>
        </w:rPr>
      </w:pPr>
      <w:r w:rsidRPr="00D968C5">
        <w:rPr>
          <w:rFonts w:ascii="Arial" w:hAnsi="Arial" w:cs="Arial"/>
          <w:b/>
          <w:bCs/>
          <w:sz w:val="20"/>
          <w:szCs w:val="20"/>
          <w:u w:val="single"/>
        </w:rPr>
        <w:t>Functions of the Fund:</w:t>
      </w:r>
    </w:p>
    <w:p w:rsidR="001D63E3" w:rsidRPr="00D968C5" w:rsidRDefault="001D63E3" w:rsidP="001D63E3">
      <w:pPr>
        <w:jc w:val="both"/>
        <w:rPr>
          <w:rFonts w:ascii="Arial" w:hAnsi="Arial" w:cs="Arial"/>
          <w:sz w:val="20"/>
          <w:szCs w:val="20"/>
        </w:rPr>
      </w:pPr>
    </w:p>
    <w:p w:rsidR="001D63E3" w:rsidRPr="00D968C5" w:rsidRDefault="001D63E3" w:rsidP="001D63E3">
      <w:pPr>
        <w:numPr>
          <w:ilvl w:val="0"/>
          <w:numId w:val="3"/>
        </w:numPr>
        <w:spacing w:before="60"/>
        <w:jc w:val="both"/>
        <w:rPr>
          <w:rFonts w:ascii="Arial" w:hAnsi="Arial" w:cs="Arial"/>
          <w:sz w:val="20"/>
          <w:szCs w:val="20"/>
        </w:rPr>
      </w:pPr>
      <w:r w:rsidRPr="00D968C5">
        <w:rPr>
          <w:rFonts w:ascii="Arial" w:hAnsi="Arial" w:cs="Arial"/>
          <w:b/>
          <w:bCs/>
          <w:sz w:val="20"/>
          <w:szCs w:val="20"/>
          <w:u w:val="single"/>
        </w:rPr>
        <w:t>Granting of Loans of its Financial Resources:</w:t>
      </w:r>
      <w:r w:rsidRPr="00D968C5">
        <w:rPr>
          <w:rFonts w:ascii="Arial" w:hAnsi="Arial" w:cs="Arial"/>
          <w:sz w:val="20"/>
          <w:szCs w:val="20"/>
        </w:rPr>
        <w:t xml:space="preserve"> The fund can use its resources for granting loans to member contrives. A member country facing a temporary deficit in its balance of payments (i.e., shortage of foreign exchange) can purchase from the fund the required foreign currency to meet the deficit by offering its own currency in exchange.</w:t>
      </w:r>
    </w:p>
    <w:p w:rsidR="001D63E3" w:rsidRPr="00D968C5" w:rsidRDefault="001D63E3" w:rsidP="001D63E3">
      <w:pPr>
        <w:spacing w:before="60"/>
        <w:ind w:left="720"/>
        <w:jc w:val="both"/>
        <w:rPr>
          <w:rFonts w:ascii="Arial" w:hAnsi="Arial" w:cs="Arial"/>
          <w:sz w:val="20"/>
          <w:szCs w:val="20"/>
        </w:rPr>
      </w:pPr>
    </w:p>
    <w:p w:rsidR="001D63E3" w:rsidRPr="00D968C5" w:rsidRDefault="001D63E3" w:rsidP="001D63E3">
      <w:pPr>
        <w:spacing w:before="60"/>
        <w:ind w:left="720"/>
        <w:jc w:val="both"/>
        <w:rPr>
          <w:rFonts w:ascii="Arial" w:hAnsi="Arial" w:cs="Arial"/>
          <w:sz w:val="20"/>
          <w:szCs w:val="20"/>
        </w:rPr>
      </w:pPr>
      <w:r w:rsidRPr="00D968C5">
        <w:rPr>
          <w:rFonts w:ascii="Arial" w:hAnsi="Arial" w:cs="Arial"/>
          <w:sz w:val="20"/>
          <w:szCs w:val="20"/>
        </w:rPr>
        <w:t xml:space="preserve">The amount of loans that a country can borrow from fund in any one year should not </w:t>
      </w:r>
      <w:proofErr w:type="gramStart"/>
      <w:r w:rsidRPr="00D968C5">
        <w:rPr>
          <w:rFonts w:ascii="Arial" w:hAnsi="Arial" w:cs="Arial"/>
          <w:sz w:val="20"/>
          <w:szCs w:val="20"/>
        </w:rPr>
        <w:t>exceeds</w:t>
      </w:r>
      <w:proofErr w:type="gramEnd"/>
      <w:r w:rsidRPr="00D968C5">
        <w:rPr>
          <w:rFonts w:ascii="Arial" w:hAnsi="Arial" w:cs="Arial"/>
          <w:sz w:val="20"/>
          <w:szCs w:val="20"/>
        </w:rPr>
        <w:t xml:space="preserve"> ¼ of its quota, and the total amount of its loans outstanding at any time should not exceed 1¼ of its quota.</w:t>
      </w:r>
    </w:p>
    <w:p w:rsidR="001D63E3" w:rsidRPr="00D968C5" w:rsidRDefault="001D63E3" w:rsidP="001D63E3">
      <w:pPr>
        <w:numPr>
          <w:ilvl w:val="0"/>
          <w:numId w:val="3"/>
        </w:numPr>
        <w:spacing w:before="60"/>
        <w:jc w:val="both"/>
        <w:rPr>
          <w:rFonts w:ascii="Arial" w:hAnsi="Arial" w:cs="Arial"/>
          <w:sz w:val="20"/>
          <w:szCs w:val="20"/>
        </w:rPr>
      </w:pPr>
      <w:r w:rsidRPr="00D968C5">
        <w:rPr>
          <w:rFonts w:ascii="Arial" w:hAnsi="Arial" w:cs="Arial"/>
          <w:b/>
          <w:bCs/>
          <w:sz w:val="20"/>
          <w:szCs w:val="20"/>
          <w:u w:val="single"/>
        </w:rPr>
        <w:t>Promotion of Exchange Stability:</w:t>
      </w:r>
      <w:r w:rsidRPr="00D968C5">
        <w:rPr>
          <w:rFonts w:ascii="Arial" w:hAnsi="Arial" w:cs="Arial"/>
          <w:sz w:val="20"/>
          <w:szCs w:val="20"/>
        </w:rPr>
        <w:t xml:space="preserve"> The fund is convinced that stable exchange rates are essential for the balanced growth of multilateral trade with this and in view, it has takes upon itself the responsibility of maintaining stable exchange rates among the currencies of member countries.</w:t>
      </w:r>
    </w:p>
    <w:p w:rsidR="001D63E3" w:rsidRPr="00D968C5" w:rsidRDefault="001D63E3" w:rsidP="001D63E3">
      <w:pPr>
        <w:numPr>
          <w:ilvl w:val="0"/>
          <w:numId w:val="3"/>
        </w:numPr>
        <w:jc w:val="both"/>
        <w:rPr>
          <w:rFonts w:ascii="Arial" w:hAnsi="Arial" w:cs="Arial"/>
          <w:sz w:val="20"/>
          <w:szCs w:val="20"/>
        </w:rPr>
      </w:pPr>
      <w:r w:rsidRPr="00D968C5">
        <w:rPr>
          <w:rFonts w:ascii="Arial" w:hAnsi="Arial" w:cs="Arial"/>
          <w:b/>
          <w:bCs/>
          <w:sz w:val="20"/>
          <w:szCs w:val="20"/>
          <w:u w:val="single"/>
        </w:rPr>
        <w:t>Management of Scare Currencies:</w:t>
      </w:r>
      <w:r w:rsidRPr="00D968C5">
        <w:rPr>
          <w:rFonts w:ascii="Arial" w:hAnsi="Arial" w:cs="Arial"/>
          <w:sz w:val="20"/>
          <w:szCs w:val="20"/>
        </w:rPr>
        <w:t xml:space="preserve"> Some times, it may so happen that many member countries may demand from the fund the currency of one particular country. If such a situation arises, the fund will try to increase the supply of that currency either by borrowing from the country concerned.</w:t>
      </w:r>
    </w:p>
    <w:p w:rsidR="001D63E3" w:rsidRPr="00D968C5" w:rsidRDefault="001D63E3" w:rsidP="001D63E3">
      <w:pPr>
        <w:ind w:left="720"/>
        <w:jc w:val="both"/>
        <w:rPr>
          <w:rFonts w:ascii="Arial" w:hAnsi="Arial" w:cs="Arial"/>
          <w:sz w:val="20"/>
          <w:szCs w:val="20"/>
        </w:rPr>
      </w:pPr>
      <w:r w:rsidRPr="00D968C5">
        <w:rPr>
          <w:rFonts w:ascii="Arial" w:hAnsi="Arial" w:cs="Arial"/>
          <w:sz w:val="20"/>
          <w:szCs w:val="20"/>
        </w:rPr>
        <w:t>If the supply of that currency still proves to be insufficient to satisfy the needs of all the needy members, the fund declares the currency scare.</w:t>
      </w:r>
    </w:p>
    <w:p w:rsidR="001D63E3" w:rsidRPr="00D968C5" w:rsidRDefault="001D63E3" w:rsidP="001D63E3">
      <w:pPr>
        <w:numPr>
          <w:ilvl w:val="0"/>
          <w:numId w:val="3"/>
        </w:numPr>
        <w:jc w:val="both"/>
        <w:rPr>
          <w:rFonts w:ascii="Arial" w:hAnsi="Arial" w:cs="Arial"/>
          <w:sz w:val="20"/>
          <w:szCs w:val="20"/>
        </w:rPr>
      </w:pPr>
      <w:r w:rsidRPr="00D968C5">
        <w:rPr>
          <w:rFonts w:ascii="Arial" w:hAnsi="Arial" w:cs="Arial"/>
          <w:b/>
          <w:bCs/>
          <w:sz w:val="20"/>
          <w:szCs w:val="20"/>
          <w:u w:val="single"/>
        </w:rPr>
        <w:lastRenderedPageBreak/>
        <w:t>Elimination of Exchange Control and other Exchange Restrictions:</w:t>
      </w:r>
      <w:r w:rsidRPr="00D968C5">
        <w:rPr>
          <w:rFonts w:ascii="Arial" w:hAnsi="Arial" w:cs="Arial"/>
          <w:sz w:val="20"/>
          <w:szCs w:val="20"/>
        </w:rPr>
        <w:t xml:space="preserve"> The </w:t>
      </w:r>
      <w:proofErr w:type="gramStart"/>
      <w:r w:rsidRPr="00D968C5">
        <w:rPr>
          <w:rFonts w:ascii="Arial" w:hAnsi="Arial" w:cs="Arial"/>
          <w:sz w:val="20"/>
          <w:szCs w:val="20"/>
        </w:rPr>
        <w:t>funds feels</w:t>
      </w:r>
      <w:proofErr w:type="gramEnd"/>
      <w:r w:rsidRPr="00D968C5">
        <w:rPr>
          <w:rFonts w:ascii="Arial" w:hAnsi="Arial" w:cs="Arial"/>
          <w:sz w:val="20"/>
          <w:szCs w:val="20"/>
        </w:rPr>
        <w:t xml:space="preserve"> that, if there are restrictions on purchase and sale of foreign exchange, the rates of exchange agreed upon case to be effective. So, if wants to ensure that there are no exchange control and other exchange restrictions on ordinary trade and current transactions.</w:t>
      </w:r>
    </w:p>
    <w:p w:rsidR="001D63E3" w:rsidRPr="00D968C5" w:rsidRDefault="001D63E3" w:rsidP="001D63E3">
      <w:pPr>
        <w:jc w:val="both"/>
        <w:rPr>
          <w:rFonts w:ascii="Arial" w:hAnsi="Arial" w:cs="Arial"/>
          <w:sz w:val="20"/>
          <w:szCs w:val="20"/>
        </w:rPr>
      </w:pPr>
    </w:p>
    <w:p w:rsidR="001D63E3" w:rsidRPr="00D968C5" w:rsidRDefault="001D63E3" w:rsidP="001D63E3">
      <w:pPr>
        <w:pStyle w:val="Heading6"/>
        <w:rPr>
          <w:caps/>
          <w:sz w:val="20"/>
          <w:szCs w:val="20"/>
        </w:rPr>
      </w:pPr>
      <w:r w:rsidRPr="00D968C5">
        <w:rPr>
          <w:caps/>
          <w:sz w:val="20"/>
          <w:szCs w:val="20"/>
        </w:rPr>
        <w:t>Critical Appraisal of the Working of the Fund</w:t>
      </w:r>
    </w:p>
    <w:p w:rsidR="001D63E3" w:rsidRPr="00D968C5" w:rsidRDefault="001D63E3" w:rsidP="001D63E3">
      <w:pPr>
        <w:rPr>
          <w:rFonts w:ascii="Arial" w:hAnsi="Arial" w:cs="Arial"/>
          <w:sz w:val="20"/>
          <w:szCs w:val="20"/>
        </w:rPr>
      </w:pPr>
    </w:p>
    <w:p w:rsidR="001D63E3" w:rsidRPr="00D968C5" w:rsidRDefault="001D63E3" w:rsidP="001D63E3">
      <w:pPr>
        <w:rPr>
          <w:rFonts w:ascii="Arial" w:hAnsi="Arial" w:cs="Arial"/>
          <w:sz w:val="20"/>
          <w:szCs w:val="20"/>
        </w:rPr>
      </w:pPr>
      <w:r w:rsidRPr="00D968C5">
        <w:rPr>
          <w:rFonts w:ascii="Arial" w:hAnsi="Arial" w:cs="Arial"/>
          <w:sz w:val="20"/>
          <w:szCs w:val="20"/>
        </w:rPr>
        <w:t xml:space="preserve">The Fund started </w:t>
      </w:r>
      <w:proofErr w:type="gramStart"/>
      <w:r w:rsidRPr="00D968C5">
        <w:rPr>
          <w:rFonts w:ascii="Arial" w:hAnsi="Arial" w:cs="Arial"/>
          <w:sz w:val="20"/>
          <w:szCs w:val="20"/>
        </w:rPr>
        <w:t>functioning</w:t>
      </w:r>
      <w:proofErr w:type="gramEnd"/>
      <w:r w:rsidRPr="00D968C5">
        <w:rPr>
          <w:rFonts w:ascii="Arial" w:hAnsi="Arial" w:cs="Arial"/>
          <w:sz w:val="20"/>
          <w:szCs w:val="20"/>
        </w:rPr>
        <w:t xml:space="preserve"> the noble objectives, such as promotion of international monetary co-operation, avoidance of competitive exchange depreciation and maintenance of exchange stability, promotion of international liquidity, removal of exchange controls and restrictions.</w:t>
      </w:r>
    </w:p>
    <w:p w:rsidR="001D63E3" w:rsidRPr="00D968C5" w:rsidRDefault="001D63E3" w:rsidP="001D63E3">
      <w:pPr>
        <w:rPr>
          <w:rFonts w:ascii="Arial" w:hAnsi="Arial" w:cs="Arial"/>
          <w:sz w:val="20"/>
          <w:szCs w:val="20"/>
        </w:rPr>
      </w:pPr>
    </w:p>
    <w:p w:rsidR="001D63E3" w:rsidRPr="00D968C5" w:rsidRDefault="001D63E3" w:rsidP="001D63E3">
      <w:pPr>
        <w:pStyle w:val="Heading7"/>
        <w:rPr>
          <w:sz w:val="20"/>
          <w:szCs w:val="20"/>
        </w:rPr>
      </w:pPr>
      <w:r w:rsidRPr="00D968C5">
        <w:rPr>
          <w:sz w:val="20"/>
          <w:szCs w:val="20"/>
        </w:rPr>
        <w:t>Achievement of IMF</w:t>
      </w:r>
    </w:p>
    <w:p w:rsidR="001D63E3" w:rsidRPr="00D968C5" w:rsidRDefault="001D63E3" w:rsidP="001D63E3">
      <w:pPr>
        <w:rPr>
          <w:rFonts w:ascii="Arial" w:hAnsi="Arial" w:cs="Arial"/>
          <w:sz w:val="20"/>
          <w:szCs w:val="20"/>
        </w:rPr>
      </w:pPr>
    </w:p>
    <w:p w:rsidR="001D63E3" w:rsidRPr="00D968C5" w:rsidRDefault="001D63E3" w:rsidP="001D63E3">
      <w:pPr>
        <w:numPr>
          <w:ilvl w:val="0"/>
          <w:numId w:val="4"/>
        </w:numPr>
        <w:rPr>
          <w:rFonts w:ascii="Arial" w:hAnsi="Arial" w:cs="Arial"/>
          <w:sz w:val="20"/>
          <w:szCs w:val="20"/>
        </w:rPr>
      </w:pPr>
      <w:r w:rsidRPr="00D968C5">
        <w:rPr>
          <w:rFonts w:ascii="Arial" w:hAnsi="Arial" w:cs="Arial"/>
          <w:sz w:val="20"/>
          <w:szCs w:val="20"/>
        </w:rPr>
        <w:t>Promotion of International Monetary Co-operation: The IMF has really promoted international monetary consultation and co-operation. It has provided machinery for consultation in international monetary affairs. Its considered opinion has influenced the policies and decisions of many member countries.</w:t>
      </w:r>
    </w:p>
    <w:p w:rsidR="001D63E3" w:rsidRPr="00D968C5" w:rsidRDefault="001D63E3" w:rsidP="001D63E3">
      <w:pPr>
        <w:numPr>
          <w:ilvl w:val="0"/>
          <w:numId w:val="4"/>
        </w:numPr>
        <w:rPr>
          <w:rFonts w:ascii="Arial" w:hAnsi="Arial" w:cs="Arial"/>
          <w:sz w:val="20"/>
          <w:szCs w:val="20"/>
        </w:rPr>
      </w:pPr>
      <w:r w:rsidRPr="00D968C5">
        <w:rPr>
          <w:rFonts w:ascii="Arial" w:hAnsi="Arial" w:cs="Arial"/>
          <w:sz w:val="20"/>
          <w:szCs w:val="20"/>
        </w:rPr>
        <w:t>Promotion of Exchange Stability: Today, most of the member countries enjoy the benefits of fixed as well as fluctuating exchange rates.</w:t>
      </w:r>
    </w:p>
    <w:p w:rsidR="001D63E3" w:rsidRPr="00D968C5" w:rsidRDefault="001D63E3" w:rsidP="001D63E3">
      <w:pPr>
        <w:ind w:left="720"/>
        <w:rPr>
          <w:rFonts w:ascii="Arial" w:hAnsi="Arial" w:cs="Arial"/>
          <w:sz w:val="20"/>
          <w:szCs w:val="20"/>
        </w:rPr>
      </w:pPr>
      <w:r w:rsidRPr="00D968C5">
        <w:rPr>
          <w:rFonts w:ascii="Arial" w:hAnsi="Arial" w:cs="Arial"/>
          <w:sz w:val="20"/>
          <w:szCs w:val="20"/>
        </w:rPr>
        <w:t>This is due to the efforts of the IMF by avoiding competitive exchange devaluations, and permitting devaluations, wherever necessary.</w:t>
      </w:r>
    </w:p>
    <w:p w:rsidR="001D63E3" w:rsidRPr="00D968C5" w:rsidRDefault="001D63E3" w:rsidP="001D63E3">
      <w:pPr>
        <w:numPr>
          <w:ilvl w:val="0"/>
          <w:numId w:val="4"/>
        </w:numPr>
        <w:rPr>
          <w:rFonts w:ascii="Arial" w:hAnsi="Arial" w:cs="Arial"/>
          <w:sz w:val="20"/>
          <w:szCs w:val="20"/>
        </w:rPr>
      </w:pPr>
      <w:r w:rsidRPr="00D968C5">
        <w:rPr>
          <w:rFonts w:ascii="Arial" w:hAnsi="Arial" w:cs="Arial"/>
          <w:sz w:val="20"/>
          <w:szCs w:val="20"/>
        </w:rPr>
        <w:t>Avoidance of Multiple Exchange Rates: The removal of multiple exchange rates, which are harmful to international trade, is one of the aims of the fund.</w:t>
      </w:r>
    </w:p>
    <w:p w:rsidR="001D63E3" w:rsidRPr="00D968C5" w:rsidRDefault="001D63E3" w:rsidP="001D63E3">
      <w:pPr>
        <w:ind w:left="720"/>
        <w:rPr>
          <w:rFonts w:ascii="Arial" w:hAnsi="Arial" w:cs="Arial"/>
          <w:sz w:val="20"/>
          <w:szCs w:val="20"/>
        </w:rPr>
      </w:pPr>
      <w:r w:rsidRPr="00D968C5">
        <w:rPr>
          <w:rFonts w:ascii="Arial" w:hAnsi="Arial" w:cs="Arial"/>
          <w:sz w:val="20"/>
          <w:szCs w:val="20"/>
        </w:rPr>
        <w:t>The IMF has been successful in preventing the members from adopting the practice of multiple exchange rates.</w:t>
      </w:r>
    </w:p>
    <w:p w:rsidR="001D63E3" w:rsidRPr="00D968C5" w:rsidRDefault="001D63E3" w:rsidP="001D63E3">
      <w:pPr>
        <w:numPr>
          <w:ilvl w:val="0"/>
          <w:numId w:val="4"/>
        </w:numPr>
        <w:rPr>
          <w:rFonts w:ascii="Arial" w:hAnsi="Arial" w:cs="Arial"/>
          <w:sz w:val="20"/>
          <w:szCs w:val="20"/>
        </w:rPr>
      </w:pPr>
      <w:r w:rsidRPr="00D968C5">
        <w:rPr>
          <w:rFonts w:ascii="Arial" w:hAnsi="Arial" w:cs="Arial"/>
          <w:sz w:val="20"/>
          <w:szCs w:val="20"/>
        </w:rPr>
        <w:t>Elimination f Exchange Control and others Restrictions: The fund has stimulated the growth of international trade by preventing the members from imposing exchange controls and restrictions.</w:t>
      </w:r>
    </w:p>
    <w:p w:rsidR="001D63E3" w:rsidRPr="00D968C5" w:rsidRDefault="001D63E3" w:rsidP="001D63E3">
      <w:pPr>
        <w:ind w:left="720"/>
        <w:rPr>
          <w:rFonts w:ascii="Arial" w:hAnsi="Arial" w:cs="Arial"/>
          <w:sz w:val="20"/>
          <w:szCs w:val="20"/>
        </w:rPr>
      </w:pPr>
      <w:r w:rsidRPr="00D968C5">
        <w:rPr>
          <w:rFonts w:ascii="Arial" w:hAnsi="Arial" w:cs="Arial"/>
          <w:sz w:val="20"/>
          <w:szCs w:val="20"/>
        </w:rPr>
        <w:t>IMF also has permitted them to impose exchange controls. But those exchange control were permitted only under special circumstances.</w:t>
      </w:r>
    </w:p>
    <w:p w:rsidR="001D63E3" w:rsidRPr="00D968C5" w:rsidRDefault="001D63E3" w:rsidP="001D63E3">
      <w:pPr>
        <w:numPr>
          <w:ilvl w:val="0"/>
          <w:numId w:val="4"/>
        </w:numPr>
        <w:rPr>
          <w:rFonts w:ascii="Arial" w:hAnsi="Arial" w:cs="Arial"/>
          <w:sz w:val="20"/>
          <w:szCs w:val="20"/>
        </w:rPr>
      </w:pPr>
      <w:r w:rsidRPr="00D968C5">
        <w:rPr>
          <w:rFonts w:ascii="Arial" w:hAnsi="Arial" w:cs="Arial"/>
          <w:sz w:val="20"/>
          <w:szCs w:val="20"/>
        </w:rPr>
        <w:t>Promotion of International Liquidity: The term “International liquidity” refers to the financial are sources and facilities available to the members of the I.M.F. for setting the deficit in their international balance of payment.</w:t>
      </w:r>
    </w:p>
    <w:p w:rsidR="001D63E3" w:rsidRPr="00D968C5" w:rsidRDefault="001D63E3" w:rsidP="001D63E3">
      <w:pPr>
        <w:ind w:left="360"/>
        <w:rPr>
          <w:rFonts w:ascii="Arial" w:hAnsi="Arial" w:cs="Arial"/>
          <w:sz w:val="20"/>
          <w:szCs w:val="20"/>
        </w:rPr>
      </w:pPr>
    </w:p>
    <w:p w:rsidR="001D63E3" w:rsidRPr="00D968C5" w:rsidRDefault="001D63E3" w:rsidP="001D63E3">
      <w:pPr>
        <w:ind w:left="360"/>
        <w:rPr>
          <w:rFonts w:ascii="Arial" w:hAnsi="Arial" w:cs="Arial"/>
          <w:b/>
          <w:bCs/>
          <w:sz w:val="20"/>
          <w:szCs w:val="20"/>
          <w:u w:val="single"/>
        </w:rPr>
      </w:pPr>
      <w:r w:rsidRPr="00D968C5">
        <w:rPr>
          <w:rFonts w:ascii="Arial" w:hAnsi="Arial" w:cs="Arial"/>
          <w:b/>
          <w:bCs/>
          <w:sz w:val="20"/>
          <w:szCs w:val="20"/>
          <w:u w:val="single"/>
        </w:rPr>
        <w:t>Importance features of SDRs are:</w:t>
      </w:r>
    </w:p>
    <w:p w:rsidR="001D63E3" w:rsidRPr="00D968C5" w:rsidRDefault="001D63E3" w:rsidP="001D63E3">
      <w:pPr>
        <w:ind w:left="360"/>
        <w:rPr>
          <w:rFonts w:ascii="Arial" w:hAnsi="Arial" w:cs="Arial"/>
          <w:sz w:val="20"/>
          <w:szCs w:val="20"/>
        </w:rPr>
      </w:pPr>
    </w:p>
    <w:p w:rsidR="001D63E3" w:rsidRPr="00D968C5" w:rsidRDefault="001D63E3" w:rsidP="001D63E3">
      <w:pPr>
        <w:numPr>
          <w:ilvl w:val="1"/>
          <w:numId w:val="4"/>
        </w:numPr>
        <w:tabs>
          <w:tab w:val="clear" w:pos="1440"/>
          <w:tab w:val="num" w:pos="720"/>
        </w:tabs>
        <w:ind w:left="720"/>
        <w:rPr>
          <w:rFonts w:ascii="Arial" w:hAnsi="Arial" w:cs="Arial"/>
          <w:sz w:val="20"/>
          <w:szCs w:val="20"/>
        </w:rPr>
      </w:pPr>
      <w:r w:rsidRPr="00D968C5">
        <w:rPr>
          <w:rFonts w:ascii="Arial" w:hAnsi="Arial" w:cs="Arial"/>
          <w:sz w:val="20"/>
          <w:szCs w:val="20"/>
        </w:rPr>
        <w:t>The special drawings rights are over and above the ordinary or general drawing rights. In other words, they are additional rights.</w:t>
      </w:r>
    </w:p>
    <w:p w:rsidR="001D63E3" w:rsidRPr="00D968C5" w:rsidRDefault="001D63E3" w:rsidP="001D63E3">
      <w:pPr>
        <w:numPr>
          <w:ilvl w:val="1"/>
          <w:numId w:val="4"/>
        </w:numPr>
        <w:tabs>
          <w:tab w:val="clear" w:pos="1440"/>
          <w:tab w:val="num" w:pos="720"/>
        </w:tabs>
        <w:ind w:left="720"/>
        <w:rPr>
          <w:rFonts w:ascii="Arial" w:hAnsi="Arial" w:cs="Arial"/>
          <w:sz w:val="20"/>
          <w:szCs w:val="20"/>
        </w:rPr>
      </w:pPr>
      <w:r w:rsidRPr="00D968C5">
        <w:rPr>
          <w:rFonts w:ascii="Arial" w:hAnsi="Arial" w:cs="Arial"/>
          <w:sz w:val="20"/>
          <w:szCs w:val="20"/>
        </w:rPr>
        <w:t>The special drawing rights are not available for ordinary commercial uses, i.e., for buying goods and services in other countries. They are meant for use only by the central bank of a member country for meeting the balance of payments deficit.</w:t>
      </w:r>
    </w:p>
    <w:p w:rsidR="001D63E3" w:rsidRPr="00D968C5" w:rsidRDefault="001D63E3" w:rsidP="001D63E3">
      <w:pPr>
        <w:numPr>
          <w:ilvl w:val="1"/>
          <w:numId w:val="4"/>
        </w:numPr>
        <w:tabs>
          <w:tab w:val="clear" w:pos="1440"/>
          <w:tab w:val="num" w:pos="720"/>
        </w:tabs>
        <w:ind w:left="720"/>
        <w:rPr>
          <w:rFonts w:ascii="Arial" w:hAnsi="Arial" w:cs="Arial"/>
          <w:sz w:val="20"/>
          <w:szCs w:val="20"/>
        </w:rPr>
      </w:pPr>
      <w:r w:rsidRPr="00D968C5">
        <w:rPr>
          <w:rFonts w:ascii="Arial" w:hAnsi="Arial" w:cs="Arial"/>
          <w:sz w:val="20"/>
          <w:szCs w:val="20"/>
        </w:rPr>
        <w:t>There are certain restrictions on the use of SDRs by the participating members. They are:</w:t>
      </w:r>
    </w:p>
    <w:p w:rsidR="001D63E3" w:rsidRPr="00D968C5" w:rsidRDefault="001D63E3" w:rsidP="001D63E3">
      <w:pPr>
        <w:numPr>
          <w:ilvl w:val="2"/>
          <w:numId w:val="4"/>
        </w:numPr>
        <w:tabs>
          <w:tab w:val="clear" w:pos="2160"/>
          <w:tab w:val="num" w:pos="1080"/>
        </w:tabs>
        <w:ind w:left="1080"/>
        <w:rPr>
          <w:rFonts w:ascii="Arial" w:hAnsi="Arial" w:cs="Arial"/>
          <w:sz w:val="20"/>
          <w:szCs w:val="20"/>
        </w:rPr>
      </w:pPr>
      <w:r w:rsidRPr="00D968C5">
        <w:rPr>
          <w:rFonts w:ascii="Arial" w:hAnsi="Arial" w:cs="Arial"/>
          <w:sz w:val="20"/>
          <w:szCs w:val="20"/>
        </w:rPr>
        <w:t>A member country can use its SDR’s only when it faces a deficit in its balance of payments SDR’s cannot be used for ordinary commercial purposes.</w:t>
      </w:r>
    </w:p>
    <w:p w:rsidR="001D63E3" w:rsidRPr="00D968C5" w:rsidRDefault="001D63E3" w:rsidP="001D63E3">
      <w:pPr>
        <w:numPr>
          <w:ilvl w:val="2"/>
          <w:numId w:val="4"/>
        </w:numPr>
        <w:tabs>
          <w:tab w:val="clear" w:pos="2160"/>
          <w:tab w:val="num" w:pos="1080"/>
        </w:tabs>
        <w:ind w:left="1080"/>
        <w:rPr>
          <w:rFonts w:ascii="Arial" w:hAnsi="Arial" w:cs="Arial"/>
          <w:sz w:val="20"/>
          <w:szCs w:val="20"/>
        </w:rPr>
      </w:pPr>
      <w:r w:rsidRPr="00D968C5">
        <w:rPr>
          <w:rFonts w:ascii="Arial" w:hAnsi="Arial" w:cs="Arial"/>
          <w:sz w:val="20"/>
          <w:szCs w:val="20"/>
        </w:rPr>
        <w:t>A member country can, normally, use only 70% of its SDR allocations in a year. In case a greater proportion of SDR allocation has been used by a country in any one year.</w:t>
      </w:r>
    </w:p>
    <w:p w:rsidR="001D63E3" w:rsidRPr="00D968C5" w:rsidRDefault="001D63E3" w:rsidP="001D63E3">
      <w:pPr>
        <w:numPr>
          <w:ilvl w:val="2"/>
          <w:numId w:val="4"/>
        </w:numPr>
        <w:tabs>
          <w:tab w:val="clear" w:pos="2160"/>
          <w:tab w:val="num" w:pos="1080"/>
        </w:tabs>
        <w:ind w:left="1080"/>
        <w:rPr>
          <w:rFonts w:ascii="Arial" w:hAnsi="Arial" w:cs="Arial"/>
          <w:sz w:val="20"/>
          <w:szCs w:val="20"/>
        </w:rPr>
      </w:pPr>
      <w:r w:rsidRPr="00D968C5">
        <w:rPr>
          <w:rFonts w:ascii="Arial" w:hAnsi="Arial" w:cs="Arial"/>
          <w:sz w:val="20"/>
          <w:szCs w:val="20"/>
        </w:rPr>
        <w:t xml:space="preserve">A country which receives SDRs in exchange for convertible currencies is also required to provide convertible currencies only </w:t>
      </w:r>
      <w:proofErr w:type="spellStart"/>
      <w:r w:rsidRPr="00D968C5">
        <w:rPr>
          <w:rFonts w:ascii="Arial" w:hAnsi="Arial" w:cs="Arial"/>
          <w:sz w:val="20"/>
          <w:szCs w:val="20"/>
        </w:rPr>
        <w:t>upto</w:t>
      </w:r>
      <w:proofErr w:type="spellEnd"/>
      <w:r w:rsidRPr="00D968C5">
        <w:rPr>
          <w:rFonts w:ascii="Arial" w:hAnsi="Arial" w:cs="Arial"/>
          <w:sz w:val="20"/>
          <w:szCs w:val="20"/>
        </w:rPr>
        <w:t xml:space="preserve"> a certain limit.</w:t>
      </w:r>
    </w:p>
    <w:p w:rsidR="001D63E3" w:rsidRPr="00D968C5" w:rsidRDefault="001D63E3" w:rsidP="001D63E3">
      <w:pPr>
        <w:numPr>
          <w:ilvl w:val="2"/>
          <w:numId w:val="4"/>
        </w:numPr>
        <w:tabs>
          <w:tab w:val="clear" w:pos="2160"/>
          <w:tab w:val="num" w:pos="1080"/>
        </w:tabs>
        <w:ind w:left="1080"/>
        <w:rPr>
          <w:rFonts w:ascii="Arial" w:hAnsi="Arial" w:cs="Arial"/>
          <w:sz w:val="20"/>
          <w:szCs w:val="20"/>
        </w:rPr>
      </w:pPr>
      <w:r w:rsidRPr="00D968C5">
        <w:rPr>
          <w:rFonts w:ascii="Arial" w:hAnsi="Arial" w:cs="Arial"/>
          <w:sz w:val="20"/>
          <w:szCs w:val="20"/>
        </w:rPr>
        <w:t>A country whose holdings of SRDs are in access of its cumulative allocations is entitled to interest on the excess, while a country, which has deficiency of SDRs, is required to pay interest on the deficit.</w:t>
      </w:r>
    </w:p>
    <w:p w:rsidR="001D63E3" w:rsidRPr="00D968C5" w:rsidRDefault="001D63E3" w:rsidP="001D63E3">
      <w:pPr>
        <w:jc w:val="center"/>
        <w:rPr>
          <w:rFonts w:ascii="Arial" w:hAnsi="Arial" w:cs="Arial"/>
          <w:sz w:val="20"/>
          <w:szCs w:val="20"/>
        </w:rPr>
      </w:pPr>
    </w:p>
    <w:p w:rsidR="001D63E3" w:rsidRPr="00D968C5" w:rsidRDefault="001D63E3" w:rsidP="001D63E3">
      <w:pPr>
        <w:pStyle w:val="Heading6"/>
        <w:rPr>
          <w:sz w:val="20"/>
          <w:szCs w:val="20"/>
        </w:rPr>
      </w:pPr>
      <w:r w:rsidRPr="00D968C5">
        <w:rPr>
          <w:sz w:val="20"/>
          <w:szCs w:val="20"/>
        </w:rPr>
        <w:t>Failures of IMF</w:t>
      </w:r>
    </w:p>
    <w:p w:rsidR="001D63E3" w:rsidRPr="00D968C5" w:rsidRDefault="001D63E3" w:rsidP="001D63E3">
      <w:pPr>
        <w:rPr>
          <w:rFonts w:ascii="Arial" w:hAnsi="Arial" w:cs="Arial"/>
          <w:sz w:val="20"/>
          <w:szCs w:val="20"/>
        </w:rPr>
      </w:pPr>
    </w:p>
    <w:p w:rsidR="001D63E3" w:rsidRPr="00D968C5" w:rsidRDefault="001D63E3" w:rsidP="001D63E3">
      <w:pPr>
        <w:numPr>
          <w:ilvl w:val="0"/>
          <w:numId w:val="5"/>
        </w:numPr>
        <w:rPr>
          <w:rFonts w:ascii="Arial" w:hAnsi="Arial" w:cs="Arial"/>
          <w:sz w:val="20"/>
          <w:szCs w:val="20"/>
        </w:rPr>
      </w:pPr>
      <w:r w:rsidRPr="00D968C5">
        <w:rPr>
          <w:rFonts w:ascii="Arial" w:hAnsi="Arial" w:cs="Arial"/>
          <w:sz w:val="20"/>
          <w:szCs w:val="20"/>
        </w:rPr>
        <w:t xml:space="preserve">Fixation of exchange rates: In the </w:t>
      </w:r>
      <w:proofErr w:type="spellStart"/>
      <w:r w:rsidRPr="00D968C5">
        <w:rPr>
          <w:rFonts w:ascii="Arial" w:hAnsi="Arial" w:cs="Arial"/>
          <w:sz w:val="20"/>
          <w:szCs w:val="20"/>
        </w:rPr>
        <w:t>matles</w:t>
      </w:r>
      <w:proofErr w:type="spellEnd"/>
      <w:r w:rsidRPr="00D968C5">
        <w:rPr>
          <w:rFonts w:ascii="Arial" w:hAnsi="Arial" w:cs="Arial"/>
          <w:sz w:val="20"/>
          <w:szCs w:val="20"/>
        </w:rPr>
        <w:t xml:space="preserve"> of fixation of exchange rates, initially and subsequently, the fund allowed a weak and passive policy. It had not tried to determine the correct exchange rates at least in respect of important currencies.</w:t>
      </w:r>
    </w:p>
    <w:p w:rsidR="001D63E3" w:rsidRPr="00D968C5" w:rsidRDefault="001D63E3" w:rsidP="001D63E3">
      <w:pPr>
        <w:numPr>
          <w:ilvl w:val="0"/>
          <w:numId w:val="5"/>
        </w:numPr>
        <w:rPr>
          <w:rFonts w:ascii="Arial" w:hAnsi="Arial" w:cs="Arial"/>
          <w:sz w:val="20"/>
          <w:szCs w:val="20"/>
        </w:rPr>
      </w:pPr>
      <w:r w:rsidRPr="00D968C5">
        <w:rPr>
          <w:rFonts w:ascii="Arial" w:hAnsi="Arial" w:cs="Arial"/>
          <w:sz w:val="20"/>
          <w:szCs w:val="20"/>
        </w:rPr>
        <w:t>Free convertibility of currencies: One of the aims of the fund is to bring about a system of free convertibility of currencies. But, so far, the fund has not succeeded in achieving this objective.</w:t>
      </w:r>
    </w:p>
    <w:p w:rsidR="001D63E3" w:rsidRPr="00D968C5" w:rsidRDefault="001D63E3" w:rsidP="001D63E3">
      <w:pPr>
        <w:numPr>
          <w:ilvl w:val="0"/>
          <w:numId w:val="5"/>
        </w:numPr>
        <w:rPr>
          <w:rFonts w:ascii="Arial" w:hAnsi="Arial" w:cs="Arial"/>
          <w:sz w:val="20"/>
          <w:szCs w:val="20"/>
        </w:rPr>
      </w:pPr>
      <w:r w:rsidRPr="00D968C5">
        <w:rPr>
          <w:rFonts w:ascii="Arial" w:hAnsi="Arial" w:cs="Arial"/>
          <w:sz w:val="20"/>
          <w:szCs w:val="20"/>
        </w:rPr>
        <w:t>Gold Policy: The articles of the fund require that no member should buy or sell gold at prices other than the par value of its currency. But this provision was ignored by the gold producing countries, and the fund could not do anything in this respect.</w:t>
      </w:r>
    </w:p>
    <w:p w:rsidR="001D63E3" w:rsidRPr="00D968C5" w:rsidRDefault="001D63E3" w:rsidP="001D63E3">
      <w:pPr>
        <w:numPr>
          <w:ilvl w:val="0"/>
          <w:numId w:val="5"/>
        </w:numPr>
        <w:pBdr>
          <w:bottom w:val="double" w:sz="6" w:space="1" w:color="auto"/>
        </w:pBdr>
        <w:rPr>
          <w:rFonts w:ascii="Arial" w:hAnsi="Arial" w:cs="Arial"/>
          <w:sz w:val="20"/>
          <w:szCs w:val="20"/>
        </w:rPr>
      </w:pPr>
      <w:r w:rsidRPr="00D968C5">
        <w:rPr>
          <w:rFonts w:ascii="Arial" w:hAnsi="Arial" w:cs="Arial"/>
          <w:sz w:val="20"/>
          <w:szCs w:val="20"/>
        </w:rPr>
        <w:lastRenderedPageBreak/>
        <w:t xml:space="preserve">Regulation of scarce currencies: As per the articles, the fund could declare a currency </w:t>
      </w:r>
      <w:proofErr w:type="spellStart"/>
      <w:r w:rsidRPr="00D968C5">
        <w:rPr>
          <w:rFonts w:ascii="Arial" w:hAnsi="Arial" w:cs="Arial"/>
          <w:sz w:val="20"/>
          <w:szCs w:val="20"/>
        </w:rPr>
        <w:t>scarece</w:t>
      </w:r>
      <w:proofErr w:type="spellEnd"/>
      <w:r w:rsidRPr="00D968C5">
        <w:rPr>
          <w:rFonts w:ascii="Arial" w:hAnsi="Arial" w:cs="Arial"/>
          <w:sz w:val="20"/>
          <w:szCs w:val="20"/>
        </w:rPr>
        <w:t>, when its holding of that currency are not sufficient to meet the demand for it. The scarcity of the U.S. dollars was felt all over the world.</w:t>
      </w:r>
    </w:p>
    <w:p w:rsidR="001D63E3" w:rsidRPr="00D968C5" w:rsidRDefault="001D63E3" w:rsidP="001D63E3">
      <w:pPr>
        <w:pStyle w:val="Heading1"/>
        <w:pBdr>
          <w:bottom w:val="single" w:sz="6" w:space="0" w:color="AAAAAA"/>
        </w:pBdr>
        <w:spacing w:before="0" w:after="24" w:line="288" w:lineRule="atLeast"/>
        <w:rPr>
          <w:rFonts w:ascii="Arial" w:hAnsi="Arial" w:cs="Arial"/>
          <w:b w:val="0"/>
          <w:bCs w:val="0"/>
          <w:color w:val="000000"/>
          <w:sz w:val="20"/>
          <w:szCs w:val="20"/>
          <w:shd w:val="clear" w:color="auto" w:fill="FFFFFF"/>
        </w:rPr>
      </w:pPr>
    </w:p>
    <w:p w:rsidR="001D63E3" w:rsidRPr="00D968C5" w:rsidRDefault="001D63E3" w:rsidP="001D63E3">
      <w:pPr>
        <w:pStyle w:val="Heading1"/>
        <w:pBdr>
          <w:bottom w:val="single" w:sz="6" w:space="0" w:color="AAAAAA"/>
        </w:pBdr>
        <w:spacing w:before="0" w:after="24" w:line="288" w:lineRule="atLeast"/>
        <w:rPr>
          <w:rFonts w:ascii="Arial" w:hAnsi="Arial" w:cs="Arial"/>
          <w:b w:val="0"/>
          <w:bCs w:val="0"/>
          <w:color w:val="000000"/>
          <w:sz w:val="20"/>
          <w:szCs w:val="20"/>
          <w:shd w:val="clear" w:color="auto" w:fill="FFFFFF"/>
        </w:rPr>
      </w:pPr>
      <w:r w:rsidRPr="00D968C5">
        <w:rPr>
          <w:rFonts w:ascii="Arial" w:hAnsi="Arial" w:cs="Arial"/>
          <w:b w:val="0"/>
          <w:bCs w:val="0"/>
          <w:color w:val="000000"/>
          <w:sz w:val="20"/>
          <w:szCs w:val="20"/>
          <w:shd w:val="clear" w:color="auto" w:fill="FFFFFF"/>
        </w:rPr>
        <w:t>Eurobond</w:t>
      </w:r>
    </w:p>
    <w:p w:rsidR="001D63E3" w:rsidRPr="00D968C5" w:rsidRDefault="001D63E3" w:rsidP="001D63E3">
      <w:pPr>
        <w:spacing w:line="360" w:lineRule="atLeast"/>
        <w:rPr>
          <w:rFonts w:ascii="Arial" w:hAnsi="Arial" w:cs="Arial"/>
          <w:color w:val="000000"/>
          <w:sz w:val="20"/>
          <w:szCs w:val="20"/>
          <w:shd w:val="clear" w:color="auto" w:fill="FFFFFF"/>
        </w:rPr>
      </w:pPr>
      <w:r w:rsidRPr="00D968C5">
        <w:rPr>
          <w:rFonts w:ascii="Arial" w:hAnsi="Arial" w:cs="Arial"/>
          <w:color w:val="000000"/>
          <w:sz w:val="20"/>
          <w:szCs w:val="20"/>
          <w:shd w:val="clear" w:color="auto" w:fill="FFFFFF"/>
        </w:rPr>
        <w:t>From Wikipedia, the free encyclopedia</w:t>
      </w:r>
    </w:p>
    <w:p w:rsidR="001D63E3" w:rsidRPr="00D968C5" w:rsidRDefault="001D63E3" w:rsidP="001D63E3">
      <w:pPr>
        <w:spacing w:line="360" w:lineRule="atLeast"/>
        <w:rPr>
          <w:rFonts w:ascii="Arial" w:hAnsi="Arial" w:cs="Arial"/>
          <w:i/>
          <w:iCs/>
          <w:color w:val="000000"/>
          <w:sz w:val="20"/>
          <w:szCs w:val="20"/>
          <w:shd w:val="clear" w:color="auto" w:fill="FFFFFF"/>
          <w:lang/>
        </w:rPr>
      </w:pPr>
      <w:r w:rsidRPr="00D968C5">
        <w:rPr>
          <w:rFonts w:ascii="Arial" w:hAnsi="Arial" w:cs="Arial"/>
          <w:i/>
          <w:iCs/>
          <w:color w:val="000000"/>
          <w:sz w:val="20"/>
          <w:szCs w:val="20"/>
          <w:shd w:val="clear" w:color="auto" w:fill="FFFFFF"/>
          <w:lang/>
        </w:rPr>
        <w:t xml:space="preserve">For bonds to be potentially issued by the </w:t>
      </w:r>
      <w:proofErr w:type="spellStart"/>
      <w:r w:rsidRPr="00D968C5">
        <w:rPr>
          <w:rFonts w:ascii="Arial" w:hAnsi="Arial" w:cs="Arial"/>
          <w:i/>
          <w:iCs/>
          <w:color w:val="000000"/>
          <w:sz w:val="20"/>
          <w:szCs w:val="20"/>
          <w:shd w:val="clear" w:color="auto" w:fill="FFFFFF"/>
          <w:lang/>
        </w:rPr>
        <w:t>eurozone</w:t>
      </w:r>
      <w:proofErr w:type="spellEnd"/>
      <w:r w:rsidRPr="00D968C5">
        <w:rPr>
          <w:rFonts w:ascii="Arial" w:hAnsi="Arial" w:cs="Arial"/>
          <w:i/>
          <w:iCs/>
          <w:color w:val="000000"/>
          <w:sz w:val="20"/>
          <w:szCs w:val="20"/>
          <w:shd w:val="clear" w:color="auto" w:fill="FFFFFF"/>
          <w:lang/>
        </w:rPr>
        <w:t>, see</w:t>
      </w:r>
      <w:r w:rsidRPr="00D968C5">
        <w:rPr>
          <w:rStyle w:val="apple-converted-space"/>
          <w:rFonts w:ascii="Arial" w:eastAsiaTheme="majorEastAsia" w:hAnsi="Arial" w:cs="Arial"/>
          <w:i/>
          <w:iCs/>
          <w:color w:val="000000"/>
          <w:sz w:val="20"/>
          <w:szCs w:val="20"/>
          <w:shd w:val="clear" w:color="auto" w:fill="FFFFFF"/>
          <w:lang/>
        </w:rPr>
        <w:t> </w:t>
      </w:r>
      <w:hyperlink r:id="rId5" w:tooltip="Eurobond (eurozone) (page does not exist)" w:history="1">
        <w:r w:rsidRPr="00D968C5">
          <w:rPr>
            <w:rStyle w:val="Hyperlink"/>
            <w:rFonts w:ascii="Arial" w:eastAsiaTheme="majorEastAsia" w:hAnsi="Arial" w:cs="Arial"/>
            <w:i/>
            <w:iCs/>
            <w:color w:val="BA0000"/>
            <w:sz w:val="20"/>
            <w:szCs w:val="20"/>
            <w:shd w:val="clear" w:color="auto" w:fill="FFFFFF"/>
            <w:lang/>
          </w:rPr>
          <w:t>Eurobond (</w:t>
        </w:r>
        <w:proofErr w:type="spellStart"/>
        <w:r w:rsidRPr="00D968C5">
          <w:rPr>
            <w:rStyle w:val="Hyperlink"/>
            <w:rFonts w:ascii="Arial" w:eastAsiaTheme="majorEastAsia" w:hAnsi="Arial" w:cs="Arial"/>
            <w:i/>
            <w:iCs/>
            <w:color w:val="BA0000"/>
            <w:sz w:val="20"/>
            <w:szCs w:val="20"/>
            <w:shd w:val="clear" w:color="auto" w:fill="FFFFFF"/>
            <w:lang/>
          </w:rPr>
          <w:t>eurozone</w:t>
        </w:r>
        <w:proofErr w:type="spellEnd"/>
        <w:r w:rsidRPr="00D968C5">
          <w:rPr>
            <w:rStyle w:val="Hyperlink"/>
            <w:rFonts w:ascii="Arial" w:eastAsiaTheme="majorEastAsia" w:hAnsi="Arial" w:cs="Arial"/>
            <w:i/>
            <w:iCs/>
            <w:color w:val="BA0000"/>
            <w:sz w:val="20"/>
            <w:szCs w:val="20"/>
            <w:shd w:val="clear" w:color="auto" w:fill="FFFFFF"/>
            <w:lang/>
          </w:rPr>
          <w:t>)</w:t>
        </w:r>
      </w:hyperlink>
      <w:r w:rsidRPr="00D968C5">
        <w:rPr>
          <w:rFonts w:ascii="Arial" w:hAnsi="Arial" w:cs="Arial"/>
          <w:i/>
          <w:iCs/>
          <w:color w:val="000000"/>
          <w:sz w:val="20"/>
          <w:szCs w:val="20"/>
          <w:shd w:val="clear" w:color="auto" w:fill="FFFFFF"/>
          <w:lang/>
        </w:rPr>
        <w:t>.</w:t>
      </w:r>
    </w:p>
    <w:p w:rsidR="001D63E3" w:rsidRPr="00D968C5" w:rsidRDefault="001D63E3" w:rsidP="001D63E3">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word Eurobond was originally created by Julius Strauss</w:t>
      </w:r>
      <w:proofErr w:type="gramStart"/>
      <w:r w:rsidRPr="00D968C5">
        <w:rPr>
          <w:rFonts w:ascii="Arial" w:hAnsi="Arial" w:cs="Arial"/>
          <w:color w:val="000000"/>
          <w:sz w:val="20"/>
          <w:szCs w:val="20"/>
          <w:shd w:val="clear" w:color="auto" w:fill="FFFFFF"/>
          <w:lang/>
        </w:rPr>
        <w:t>.</w:t>
      </w:r>
      <w:r w:rsidRPr="00D968C5">
        <w:rPr>
          <w:rFonts w:ascii="Arial" w:hAnsi="Arial" w:cs="Arial"/>
          <w:color w:val="000000"/>
          <w:sz w:val="20"/>
          <w:szCs w:val="20"/>
          <w:shd w:val="clear" w:color="auto" w:fill="FFFFFF"/>
          <w:vertAlign w:val="superscript"/>
          <w:lang/>
        </w:rPr>
        <w:t>[</w:t>
      </w:r>
      <w:proofErr w:type="gramEnd"/>
      <w:r w:rsidRPr="00D968C5">
        <w:rPr>
          <w:rFonts w:ascii="Arial" w:hAnsi="Arial" w:cs="Arial"/>
          <w:i/>
          <w:iCs/>
          <w:color w:val="000000"/>
          <w:sz w:val="20"/>
          <w:szCs w:val="20"/>
          <w:shd w:val="clear" w:color="auto" w:fill="FFFFFF"/>
          <w:vertAlign w:val="superscript"/>
          <w:lang/>
        </w:rPr>
        <w:fldChar w:fldCharType="begin"/>
      </w:r>
      <w:r w:rsidRPr="00D968C5">
        <w:rPr>
          <w:rFonts w:ascii="Arial" w:hAnsi="Arial" w:cs="Arial"/>
          <w:i/>
          <w:iCs/>
          <w:color w:val="000000"/>
          <w:sz w:val="20"/>
          <w:szCs w:val="20"/>
          <w:shd w:val="clear" w:color="auto" w:fill="FFFFFF"/>
          <w:vertAlign w:val="superscript"/>
          <w:lang/>
        </w:rPr>
        <w:instrText xml:space="preserve"> HYPERLINK "http://en.wikipedia.org/wiki/Wikipedia:Citation_needed" \o "Wikipedia:Citation needed" </w:instrText>
      </w:r>
      <w:r w:rsidRPr="00D968C5">
        <w:rPr>
          <w:rFonts w:ascii="Arial" w:hAnsi="Arial" w:cs="Arial"/>
          <w:i/>
          <w:iCs/>
          <w:color w:val="000000"/>
          <w:sz w:val="20"/>
          <w:szCs w:val="20"/>
          <w:shd w:val="clear" w:color="auto" w:fill="FFFFFF"/>
          <w:vertAlign w:val="superscript"/>
          <w:lang/>
        </w:rPr>
        <w:fldChar w:fldCharType="separate"/>
      </w:r>
      <w:r w:rsidRPr="00D968C5">
        <w:rPr>
          <w:rStyle w:val="Hyperlink"/>
          <w:rFonts w:ascii="Arial" w:eastAsiaTheme="majorEastAsia" w:hAnsi="Arial" w:cs="Arial"/>
          <w:i/>
          <w:iCs/>
          <w:color w:val="0645AD"/>
          <w:sz w:val="20"/>
          <w:szCs w:val="20"/>
          <w:shd w:val="clear" w:color="auto" w:fill="FFFFFF"/>
          <w:vertAlign w:val="superscript"/>
          <w:lang/>
        </w:rPr>
        <w:t>citation needed</w:t>
      </w:r>
      <w:r w:rsidRPr="00D968C5">
        <w:rPr>
          <w:rFonts w:ascii="Arial" w:hAnsi="Arial" w:cs="Arial"/>
          <w:i/>
          <w:iCs/>
          <w:color w:val="000000"/>
          <w:sz w:val="20"/>
          <w:szCs w:val="20"/>
          <w:shd w:val="clear" w:color="auto" w:fill="FFFFFF"/>
          <w:vertAlign w:val="superscript"/>
          <w:lang/>
        </w:rPr>
        <w:fldChar w:fldCharType="end"/>
      </w:r>
      <w:r w:rsidRPr="00D968C5">
        <w:rPr>
          <w:rFonts w:ascii="Arial" w:hAnsi="Arial" w:cs="Arial"/>
          <w:color w:val="000000"/>
          <w:sz w:val="20"/>
          <w:szCs w:val="20"/>
          <w:shd w:val="clear" w:color="auto" w:fill="FFFFFF"/>
          <w:vertAlign w:val="superscript"/>
          <w:lang/>
        </w:rPr>
        <w:t>]</w:t>
      </w:r>
    </w:p>
    <w:p w:rsidR="001D63E3" w:rsidRPr="00D968C5" w:rsidRDefault="001D63E3" w:rsidP="001D63E3">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Eurobond</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is an international</w:t>
      </w:r>
      <w:r w:rsidRPr="00D968C5">
        <w:rPr>
          <w:rStyle w:val="apple-converted-space"/>
          <w:rFonts w:ascii="Arial" w:eastAsiaTheme="majorEastAsia" w:hAnsi="Arial" w:cs="Arial"/>
          <w:color w:val="000000"/>
          <w:sz w:val="20"/>
          <w:szCs w:val="20"/>
          <w:shd w:val="clear" w:color="auto" w:fill="FFFFFF"/>
          <w:lang/>
        </w:rPr>
        <w:t> </w:t>
      </w:r>
      <w:hyperlink r:id="rId6" w:tooltip="Bond (finance)" w:history="1">
        <w:r w:rsidRPr="00D968C5">
          <w:rPr>
            <w:rStyle w:val="Hyperlink"/>
            <w:rFonts w:ascii="Arial" w:eastAsiaTheme="majorEastAsia" w:hAnsi="Arial" w:cs="Arial"/>
            <w:color w:val="0645AD"/>
            <w:sz w:val="20"/>
            <w:szCs w:val="20"/>
            <w:shd w:val="clear" w:color="auto" w:fill="FFFFFF"/>
            <w:lang/>
          </w:rPr>
          <w:t>bond</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that is denominated in a</w:t>
      </w:r>
      <w:r w:rsidRPr="00D968C5">
        <w:rPr>
          <w:rStyle w:val="apple-converted-space"/>
          <w:rFonts w:ascii="Arial" w:eastAsiaTheme="majorEastAsia" w:hAnsi="Arial" w:cs="Arial"/>
          <w:color w:val="000000"/>
          <w:sz w:val="20"/>
          <w:szCs w:val="20"/>
          <w:shd w:val="clear" w:color="auto" w:fill="FFFFFF"/>
          <w:lang/>
        </w:rPr>
        <w:t> </w:t>
      </w:r>
      <w:hyperlink r:id="rId7" w:tooltip="Currency" w:history="1">
        <w:r w:rsidRPr="00D968C5">
          <w:rPr>
            <w:rStyle w:val="Hyperlink"/>
            <w:rFonts w:ascii="Arial" w:eastAsiaTheme="majorEastAsia" w:hAnsi="Arial" w:cs="Arial"/>
            <w:color w:val="0645AD"/>
            <w:sz w:val="20"/>
            <w:szCs w:val="20"/>
            <w:shd w:val="clear" w:color="auto" w:fill="FFFFFF"/>
            <w:lang/>
          </w:rPr>
          <w:t>currency</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not native to the country where it is issued. It can be </w:t>
      </w:r>
      <w:proofErr w:type="spellStart"/>
      <w:r w:rsidRPr="00D968C5">
        <w:rPr>
          <w:rFonts w:ascii="Arial" w:hAnsi="Arial" w:cs="Arial"/>
          <w:color w:val="000000"/>
          <w:sz w:val="20"/>
          <w:szCs w:val="20"/>
          <w:shd w:val="clear" w:color="auto" w:fill="FFFFFF"/>
          <w:lang/>
        </w:rPr>
        <w:t>categorised</w:t>
      </w:r>
      <w:proofErr w:type="spellEnd"/>
      <w:r w:rsidRPr="00D968C5">
        <w:rPr>
          <w:rFonts w:ascii="Arial" w:hAnsi="Arial" w:cs="Arial"/>
          <w:color w:val="000000"/>
          <w:sz w:val="20"/>
          <w:szCs w:val="20"/>
          <w:shd w:val="clear" w:color="auto" w:fill="FFFFFF"/>
          <w:lang/>
        </w:rPr>
        <w:t xml:space="preserve"> according to the currency in which it is issued. London is one of the centers of the Eurobond market, but Eurobonds may be traded throughout the world - for example in</w:t>
      </w:r>
      <w:r w:rsidRPr="00D968C5">
        <w:rPr>
          <w:rStyle w:val="apple-converted-space"/>
          <w:rFonts w:ascii="Arial" w:eastAsiaTheme="majorEastAsia" w:hAnsi="Arial" w:cs="Arial"/>
          <w:color w:val="000000"/>
          <w:sz w:val="20"/>
          <w:szCs w:val="20"/>
          <w:shd w:val="clear" w:color="auto" w:fill="FFFFFF"/>
          <w:lang/>
        </w:rPr>
        <w:t> </w:t>
      </w:r>
      <w:hyperlink r:id="rId8" w:tooltip="Singapore" w:history="1">
        <w:r w:rsidRPr="00D968C5">
          <w:rPr>
            <w:rStyle w:val="Hyperlink"/>
            <w:rFonts w:ascii="Arial" w:eastAsiaTheme="majorEastAsia" w:hAnsi="Arial" w:cs="Arial"/>
            <w:color w:val="0645AD"/>
            <w:sz w:val="20"/>
            <w:szCs w:val="20"/>
            <w:shd w:val="clear" w:color="auto" w:fill="FFFFFF"/>
            <w:lang/>
          </w:rPr>
          <w:t>Singapore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or</w:t>
      </w:r>
      <w:r w:rsidRPr="00D968C5">
        <w:rPr>
          <w:rStyle w:val="apple-converted-space"/>
          <w:rFonts w:ascii="Arial" w:eastAsiaTheme="majorEastAsia" w:hAnsi="Arial" w:cs="Arial"/>
          <w:color w:val="000000"/>
          <w:sz w:val="20"/>
          <w:szCs w:val="20"/>
          <w:shd w:val="clear" w:color="auto" w:fill="FFFFFF"/>
          <w:lang/>
        </w:rPr>
        <w:t> </w:t>
      </w:r>
      <w:hyperlink r:id="rId9" w:tooltip="Tokyo" w:history="1">
        <w:r w:rsidRPr="00D968C5">
          <w:rPr>
            <w:rStyle w:val="Hyperlink"/>
            <w:rFonts w:ascii="Arial" w:eastAsiaTheme="majorEastAsia" w:hAnsi="Arial" w:cs="Arial"/>
            <w:color w:val="0645AD"/>
            <w:sz w:val="20"/>
            <w:szCs w:val="20"/>
            <w:shd w:val="clear" w:color="auto" w:fill="FFFFFF"/>
            <w:lang/>
          </w:rPr>
          <w:t>Tokyo</w:t>
        </w:r>
      </w:hyperlink>
      <w:r w:rsidRPr="00D968C5">
        <w:rPr>
          <w:rFonts w:ascii="Arial" w:hAnsi="Arial" w:cs="Arial"/>
          <w:color w:val="000000"/>
          <w:sz w:val="20"/>
          <w:szCs w:val="20"/>
          <w:shd w:val="clear" w:color="auto" w:fill="FFFFFF"/>
          <w:lang/>
        </w:rPr>
        <w:t>.</w:t>
      </w:r>
    </w:p>
    <w:p w:rsidR="001D63E3" w:rsidRPr="00D968C5" w:rsidRDefault="001D63E3" w:rsidP="001D63E3">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Eurobonds are named after the currency they are denominated in. For example,</w:t>
      </w:r>
      <w:r w:rsidRPr="00D968C5">
        <w:rPr>
          <w:rStyle w:val="apple-converted-space"/>
          <w:rFonts w:ascii="Arial" w:eastAsiaTheme="majorEastAsia" w:hAnsi="Arial" w:cs="Arial"/>
          <w:color w:val="000000"/>
          <w:sz w:val="20"/>
          <w:szCs w:val="20"/>
          <w:shd w:val="clear" w:color="auto" w:fill="FFFFFF"/>
          <w:lang/>
        </w:rPr>
        <w:t> </w:t>
      </w:r>
      <w:hyperlink r:id="rId10" w:tooltip="Euroyen" w:history="1">
        <w:proofErr w:type="spellStart"/>
        <w:r w:rsidRPr="00D968C5">
          <w:rPr>
            <w:rStyle w:val="Hyperlink"/>
            <w:rFonts w:ascii="Arial" w:eastAsiaTheme="majorEastAsia" w:hAnsi="Arial" w:cs="Arial"/>
            <w:color w:val="0645AD"/>
            <w:sz w:val="20"/>
            <w:szCs w:val="20"/>
            <w:shd w:val="clear" w:color="auto" w:fill="FFFFFF"/>
            <w:lang/>
          </w:rPr>
          <w:t>Euroyen</w:t>
        </w:r>
        <w:proofErr w:type="spellEnd"/>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and</w:t>
      </w:r>
      <w:r w:rsidRPr="00D968C5">
        <w:rPr>
          <w:rStyle w:val="apple-converted-space"/>
          <w:rFonts w:ascii="Arial" w:eastAsiaTheme="majorEastAsia" w:hAnsi="Arial" w:cs="Arial"/>
          <w:color w:val="000000"/>
          <w:sz w:val="20"/>
          <w:szCs w:val="20"/>
          <w:shd w:val="clear" w:color="auto" w:fill="FFFFFF"/>
          <w:lang/>
        </w:rPr>
        <w:t> </w:t>
      </w:r>
      <w:hyperlink r:id="rId11" w:tooltip="Eurodollar" w:history="1">
        <w:r w:rsidRPr="00D968C5">
          <w:rPr>
            <w:rStyle w:val="Hyperlink"/>
            <w:rFonts w:ascii="Arial" w:eastAsiaTheme="majorEastAsia" w:hAnsi="Arial" w:cs="Arial"/>
            <w:color w:val="0645AD"/>
            <w:sz w:val="20"/>
            <w:szCs w:val="20"/>
            <w:shd w:val="clear" w:color="auto" w:fill="FFFFFF"/>
            <w:lang/>
          </w:rPr>
          <w:t>Eurodollar</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bonds are denominated in </w:t>
      </w:r>
      <w:proofErr w:type="spellStart"/>
      <w:r w:rsidRPr="00D968C5">
        <w:rPr>
          <w:rFonts w:ascii="Arial" w:hAnsi="Arial" w:cs="Arial"/>
          <w:color w:val="000000"/>
          <w:sz w:val="20"/>
          <w:szCs w:val="20"/>
          <w:shd w:val="clear" w:color="auto" w:fill="FFFFFF"/>
          <w:lang/>
        </w:rPr>
        <w:t>Japanese</w:t>
      </w:r>
      <w:hyperlink r:id="rId12" w:tooltip="Yen" w:history="1">
        <w:r w:rsidRPr="00D968C5">
          <w:rPr>
            <w:rStyle w:val="Hyperlink"/>
            <w:rFonts w:ascii="Arial" w:eastAsiaTheme="majorEastAsia" w:hAnsi="Arial" w:cs="Arial"/>
            <w:color w:val="0645AD"/>
            <w:sz w:val="20"/>
            <w:szCs w:val="20"/>
            <w:shd w:val="clear" w:color="auto" w:fill="FFFFFF"/>
            <w:lang/>
          </w:rPr>
          <w:t>yen</w:t>
        </w:r>
        <w:proofErr w:type="spellEnd"/>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and American</w:t>
      </w:r>
      <w:r w:rsidRPr="00D968C5">
        <w:rPr>
          <w:rStyle w:val="apple-converted-space"/>
          <w:rFonts w:ascii="Arial" w:eastAsiaTheme="majorEastAsia" w:hAnsi="Arial" w:cs="Arial"/>
          <w:color w:val="000000"/>
          <w:sz w:val="20"/>
          <w:szCs w:val="20"/>
          <w:shd w:val="clear" w:color="auto" w:fill="FFFFFF"/>
          <w:lang/>
        </w:rPr>
        <w:t> </w:t>
      </w:r>
      <w:hyperlink r:id="rId13" w:tooltip="Dollars" w:history="1">
        <w:r w:rsidRPr="00D968C5">
          <w:rPr>
            <w:rStyle w:val="Hyperlink"/>
            <w:rFonts w:ascii="Arial" w:eastAsiaTheme="majorEastAsia" w:hAnsi="Arial" w:cs="Arial"/>
            <w:color w:val="0645AD"/>
            <w:sz w:val="20"/>
            <w:szCs w:val="20"/>
            <w:shd w:val="clear" w:color="auto" w:fill="FFFFFF"/>
            <w:lang/>
          </w:rPr>
          <w:t>dollars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respectively. A Eurobond is normally a</w:t>
      </w:r>
      <w:r w:rsidRPr="00D968C5">
        <w:rPr>
          <w:rStyle w:val="apple-converted-space"/>
          <w:rFonts w:ascii="Arial" w:eastAsiaTheme="majorEastAsia" w:hAnsi="Arial" w:cs="Arial"/>
          <w:color w:val="000000"/>
          <w:sz w:val="20"/>
          <w:szCs w:val="20"/>
          <w:shd w:val="clear" w:color="auto" w:fill="FFFFFF"/>
          <w:lang/>
        </w:rPr>
        <w:t> </w:t>
      </w:r>
      <w:hyperlink r:id="rId14" w:tooltip="Bearer bond" w:history="1">
        <w:r w:rsidRPr="00D968C5">
          <w:rPr>
            <w:rStyle w:val="Hyperlink"/>
            <w:rFonts w:ascii="Arial" w:eastAsiaTheme="majorEastAsia" w:hAnsi="Arial" w:cs="Arial"/>
            <w:color w:val="0645AD"/>
            <w:sz w:val="20"/>
            <w:szCs w:val="20"/>
            <w:shd w:val="clear" w:color="auto" w:fill="FFFFFF"/>
            <w:lang/>
          </w:rPr>
          <w:t>bearer bond</w:t>
        </w:r>
      </w:hyperlink>
      <w:r w:rsidRPr="00D968C5">
        <w:rPr>
          <w:rFonts w:ascii="Arial" w:hAnsi="Arial" w:cs="Arial"/>
          <w:color w:val="000000"/>
          <w:sz w:val="20"/>
          <w:szCs w:val="20"/>
          <w:shd w:val="clear" w:color="auto" w:fill="FFFFFF"/>
          <w:lang/>
        </w:rPr>
        <w:t>, payable to the bearer. It is also free of</w:t>
      </w:r>
      <w:r w:rsidRPr="00D968C5">
        <w:rPr>
          <w:rStyle w:val="apple-converted-space"/>
          <w:rFonts w:ascii="Arial" w:eastAsiaTheme="majorEastAsia" w:hAnsi="Arial" w:cs="Arial"/>
          <w:color w:val="000000"/>
          <w:sz w:val="20"/>
          <w:szCs w:val="20"/>
          <w:shd w:val="clear" w:color="auto" w:fill="FFFFFF"/>
          <w:lang/>
        </w:rPr>
        <w:t> </w:t>
      </w:r>
      <w:hyperlink r:id="rId15" w:tooltip="Withholding tax" w:history="1">
        <w:r w:rsidRPr="00D968C5">
          <w:rPr>
            <w:rStyle w:val="Hyperlink"/>
            <w:rFonts w:ascii="Arial" w:eastAsiaTheme="majorEastAsia" w:hAnsi="Arial" w:cs="Arial"/>
            <w:color w:val="0645AD"/>
            <w:sz w:val="20"/>
            <w:szCs w:val="20"/>
            <w:shd w:val="clear" w:color="auto" w:fill="FFFFFF"/>
            <w:lang/>
          </w:rPr>
          <w:t>withholding tax</w:t>
        </w:r>
      </w:hyperlink>
      <w:r w:rsidRPr="00D968C5">
        <w:rPr>
          <w:rFonts w:ascii="Arial" w:hAnsi="Arial" w:cs="Arial"/>
          <w:color w:val="000000"/>
          <w:sz w:val="20"/>
          <w:szCs w:val="20"/>
          <w:shd w:val="clear" w:color="auto" w:fill="FFFFFF"/>
          <w:lang/>
        </w:rPr>
        <w:t>. The bank will pay the holder of the coupon the interest payment due. Usually, no official records are kept.</w:t>
      </w:r>
    </w:p>
    <w:p w:rsidR="001D63E3" w:rsidRPr="00D968C5" w:rsidRDefault="001D63E3" w:rsidP="001D63E3">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first European Eurobonds were issued in 1963 by Italian motorway network</w:t>
      </w:r>
      <w:r w:rsidRPr="00D968C5">
        <w:rPr>
          <w:rStyle w:val="apple-converted-space"/>
          <w:rFonts w:ascii="Arial" w:eastAsiaTheme="majorEastAsia" w:hAnsi="Arial" w:cs="Arial"/>
          <w:color w:val="000000"/>
          <w:sz w:val="20"/>
          <w:szCs w:val="20"/>
          <w:shd w:val="clear" w:color="auto" w:fill="FFFFFF"/>
          <w:lang/>
        </w:rPr>
        <w:t> </w:t>
      </w:r>
      <w:hyperlink r:id="rId16" w:tooltip="Autostrade of Italy" w:history="1">
        <w:proofErr w:type="spellStart"/>
        <w:r w:rsidRPr="00D968C5">
          <w:rPr>
            <w:rStyle w:val="Hyperlink"/>
            <w:rFonts w:ascii="Arial" w:eastAsiaTheme="majorEastAsia" w:hAnsi="Arial" w:cs="Arial"/>
            <w:color w:val="0645AD"/>
            <w:sz w:val="20"/>
            <w:szCs w:val="20"/>
            <w:shd w:val="clear" w:color="auto" w:fill="FFFFFF"/>
            <w:lang/>
          </w:rPr>
          <w:t>Autostrade</w:t>
        </w:r>
        <w:proofErr w:type="spellEnd"/>
      </w:hyperlink>
      <w:r w:rsidRPr="00D968C5">
        <w:rPr>
          <w:rFonts w:ascii="Arial" w:hAnsi="Arial" w:cs="Arial"/>
          <w:color w:val="000000"/>
          <w:sz w:val="20"/>
          <w:szCs w:val="20"/>
          <w:shd w:val="clear" w:color="auto" w:fill="FFFFFF"/>
          <w:lang/>
        </w:rPr>
        <w:t>.</w:t>
      </w:r>
      <w:hyperlink r:id="rId17" w:anchor="cite_note-0" w:history="1">
        <w:r w:rsidRPr="00D968C5">
          <w:rPr>
            <w:rStyle w:val="Hyperlink"/>
            <w:rFonts w:ascii="Arial" w:eastAsiaTheme="majorEastAsia" w:hAnsi="Arial" w:cs="Arial"/>
            <w:color w:val="0645AD"/>
            <w:sz w:val="20"/>
            <w:szCs w:val="20"/>
            <w:shd w:val="clear" w:color="auto" w:fill="FFFFFF"/>
            <w:vertAlign w:val="superscript"/>
            <w:lang/>
          </w:rPr>
          <w:t>[1]</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The $15 million six year loan was arranged by London bankers</w:t>
      </w:r>
      <w:r w:rsidRPr="00D968C5">
        <w:rPr>
          <w:rStyle w:val="apple-converted-space"/>
          <w:rFonts w:ascii="Arial" w:eastAsiaTheme="majorEastAsia" w:hAnsi="Arial" w:cs="Arial"/>
          <w:color w:val="000000"/>
          <w:sz w:val="20"/>
          <w:szCs w:val="20"/>
          <w:shd w:val="clear" w:color="auto" w:fill="FFFFFF"/>
          <w:lang/>
        </w:rPr>
        <w:t> </w:t>
      </w:r>
      <w:hyperlink r:id="rId18" w:tooltip="S. G. Warburg &amp; Co." w:history="1">
        <w:r w:rsidRPr="00D968C5">
          <w:rPr>
            <w:rStyle w:val="Hyperlink"/>
            <w:rFonts w:ascii="Arial" w:eastAsiaTheme="majorEastAsia" w:hAnsi="Arial" w:cs="Arial"/>
            <w:color w:val="0645AD"/>
            <w:sz w:val="20"/>
            <w:szCs w:val="20"/>
            <w:shd w:val="clear" w:color="auto" w:fill="FFFFFF"/>
            <w:lang/>
          </w:rPr>
          <w:t>S. G. Warburg</w:t>
        </w:r>
      </w:hyperlink>
      <w:r w:rsidRPr="00D968C5">
        <w:rPr>
          <w:rFonts w:ascii="Arial" w:hAnsi="Arial" w:cs="Arial"/>
          <w:color w:val="000000"/>
          <w:sz w:val="20"/>
          <w:szCs w:val="20"/>
          <w:shd w:val="clear" w:color="auto" w:fill="FFFFFF"/>
          <w:lang/>
        </w:rPr>
        <w:t>.</w:t>
      </w:r>
      <w:hyperlink r:id="rId19" w:anchor="cite_note-1" w:history="1">
        <w:r w:rsidRPr="00D968C5">
          <w:rPr>
            <w:rStyle w:val="Hyperlink"/>
            <w:rFonts w:ascii="Arial" w:eastAsiaTheme="majorEastAsia" w:hAnsi="Arial" w:cs="Arial"/>
            <w:color w:val="0645AD"/>
            <w:sz w:val="20"/>
            <w:szCs w:val="20"/>
            <w:shd w:val="clear" w:color="auto" w:fill="FFFFFF"/>
            <w:vertAlign w:val="superscript"/>
            <w:lang/>
          </w:rPr>
          <w:t>[2</w:t>
        </w:r>
        <w:proofErr w:type="gramStart"/>
        <w:r w:rsidRPr="00D968C5">
          <w:rPr>
            <w:rStyle w:val="Hyperlink"/>
            <w:rFonts w:ascii="Arial" w:eastAsiaTheme="majorEastAsia" w:hAnsi="Arial" w:cs="Arial"/>
            <w:color w:val="0645AD"/>
            <w:sz w:val="20"/>
            <w:szCs w:val="20"/>
            <w:shd w:val="clear" w:color="auto" w:fill="FFFFFF"/>
            <w:vertAlign w:val="superscript"/>
            <w:lang/>
          </w:rPr>
          <w:t>]</w:t>
        </w:r>
        <w:proofErr w:type="gramEnd"/>
      </w:hyperlink>
      <w:hyperlink r:id="rId20" w:anchor="cite_note-2" w:history="1">
        <w:r w:rsidRPr="00D968C5">
          <w:rPr>
            <w:rStyle w:val="Hyperlink"/>
            <w:rFonts w:ascii="Arial" w:eastAsiaTheme="majorEastAsia" w:hAnsi="Arial" w:cs="Arial"/>
            <w:color w:val="0645AD"/>
            <w:sz w:val="20"/>
            <w:szCs w:val="20"/>
            <w:shd w:val="clear" w:color="auto" w:fill="FFFFFF"/>
            <w:vertAlign w:val="superscript"/>
            <w:lang/>
          </w:rPr>
          <w:t>[3]</w:t>
        </w:r>
      </w:hyperlink>
    </w:p>
    <w:p w:rsidR="001D63E3" w:rsidRPr="00D968C5" w:rsidRDefault="001D63E3" w:rsidP="001D63E3">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majority of Eurobonds are now owned in 'electronic' rather than physical form. The bonds are held and traded within one of the clearing systems (</w:t>
      </w:r>
      <w:hyperlink r:id="rId21" w:tooltip="Euroclear" w:history="1">
        <w:proofErr w:type="spellStart"/>
        <w:r w:rsidRPr="00D968C5">
          <w:rPr>
            <w:rStyle w:val="Hyperlink"/>
            <w:rFonts w:ascii="Arial" w:eastAsiaTheme="majorEastAsia" w:hAnsi="Arial" w:cs="Arial"/>
            <w:color w:val="0645AD"/>
            <w:sz w:val="20"/>
            <w:szCs w:val="20"/>
            <w:shd w:val="clear" w:color="auto" w:fill="FFFFFF"/>
            <w:lang/>
          </w:rPr>
          <w:t>Euroclear</w:t>
        </w:r>
        <w:proofErr w:type="spellEnd"/>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and</w:t>
      </w:r>
      <w:r w:rsidRPr="00D968C5">
        <w:rPr>
          <w:rStyle w:val="apple-converted-space"/>
          <w:rFonts w:ascii="Arial" w:eastAsiaTheme="majorEastAsia" w:hAnsi="Arial" w:cs="Arial"/>
          <w:color w:val="000000"/>
          <w:sz w:val="20"/>
          <w:szCs w:val="20"/>
          <w:shd w:val="clear" w:color="auto" w:fill="FFFFFF"/>
          <w:lang/>
        </w:rPr>
        <w:t> </w:t>
      </w:r>
      <w:hyperlink r:id="rId22" w:tooltip="Clearstream" w:history="1">
        <w:proofErr w:type="spellStart"/>
        <w:r w:rsidRPr="00D968C5">
          <w:rPr>
            <w:rStyle w:val="Hyperlink"/>
            <w:rFonts w:ascii="Arial" w:eastAsiaTheme="majorEastAsia" w:hAnsi="Arial" w:cs="Arial"/>
            <w:color w:val="0645AD"/>
            <w:sz w:val="20"/>
            <w:szCs w:val="20"/>
            <w:shd w:val="clear" w:color="auto" w:fill="FFFFFF"/>
            <w:lang/>
          </w:rPr>
          <w:t>Clearstream</w:t>
        </w:r>
        <w:proofErr w:type="spellEnd"/>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being the most common). Coupons are paid electronically via the clearing systems to the holder of the Eurobond (or their nominee account).</w:t>
      </w:r>
    </w:p>
    <w:p w:rsidR="001D63E3" w:rsidRPr="00D968C5" w:rsidRDefault="001D63E3" w:rsidP="001D63E3">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editsection"/>
          <w:rFonts w:ascii="Arial" w:hAnsi="Arial" w:cs="Arial"/>
          <w:b w:val="0"/>
          <w:bCs w:val="0"/>
          <w:color w:val="000000"/>
          <w:sz w:val="20"/>
          <w:szCs w:val="20"/>
          <w:shd w:val="clear" w:color="auto" w:fill="FFFFFF"/>
          <w:lang/>
        </w:rPr>
        <w:t>[</w:t>
      </w:r>
      <w:hyperlink r:id="rId23" w:tooltip="Edit section: References" w:history="1">
        <w:proofErr w:type="gramStart"/>
        <w:r w:rsidRPr="00D968C5">
          <w:rPr>
            <w:rStyle w:val="Hyperlink"/>
            <w:rFonts w:ascii="Arial" w:hAnsi="Arial" w:cs="Arial"/>
            <w:b w:val="0"/>
            <w:bCs w:val="0"/>
            <w:color w:val="0645AD"/>
            <w:sz w:val="20"/>
            <w:szCs w:val="20"/>
            <w:shd w:val="clear" w:color="auto" w:fill="FFFFFF"/>
            <w:lang/>
          </w:rPr>
          <w:t>edit</w:t>
        </w:r>
        <w:proofErr w:type="gramEnd"/>
      </w:hyperlink>
      <w:r w:rsidRPr="00D968C5">
        <w:rPr>
          <w:rStyle w:val="editsection"/>
          <w:rFonts w:ascii="Arial" w:hAnsi="Arial" w:cs="Arial"/>
          <w:b w:val="0"/>
          <w:bCs w:val="0"/>
          <w:color w:val="000000"/>
          <w:sz w:val="20"/>
          <w:szCs w:val="20"/>
          <w:shd w:val="clear" w:color="auto" w:fill="FFFFFF"/>
          <w:lang/>
        </w:rPr>
        <w:t>]</w:t>
      </w:r>
      <w:r w:rsidRPr="00D968C5">
        <w:rPr>
          <w:rStyle w:val="mw-headline"/>
          <w:rFonts w:ascii="Arial" w:hAnsi="Arial" w:cs="Arial"/>
          <w:b w:val="0"/>
          <w:bCs w:val="0"/>
          <w:color w:val="000000"/>
          <w:sz w:val="20"/>
          <w:szCs w:val="20"/>
          <w:shd w:val="clear" w:color="auto" w:fill="FFFFFF"/>
          <w:lang/>
        </w:rPr>
        <w:t>References</w:t>
      </w:r>
    </w:p>
    <w:p w:rsidR="001D63E3" w:rsidRPr="00D968C5" w:rsidRDefault="001D63E3" w:rsidP="001D63E3">
      <w:pPr>
        <w:numPr>
          <w:ilvl w:val="1"/>
          <w:numId w:val="6"/>
        </w:numPr>
        <w:spacing w:before="100" w:beforeAutospacing="1" w:after="24" w:line="360" w:lineRule="atLeast"/>
        <w:ind w:left="768"/>
        <w:rPr>
          <w:rFonts w:ascii="Arial" w:hAnsi="Arial" w:cs="Arial"/>
          <w:color w:val="000000"/>
          <w:sz w:val="20"/>
          <w:szCs w:val="20"/>
          <w:shd w:val="clear" w:color="auto" w:fill="FFFFFF"/>
          <w:lang/>
        </w:rPr>
      </w:pPr>
      <w:hyperlink r:id="rId24" w:anchor="cite_ref-0" w:history="1">
        <w:r w:rsidRPr="00D968C5">
          <w:rPr>
            <w:rStyle w:val="Hyperlink"/>
            <w:rFonts w:ascii="Arial" w:eastAsiaTheme="majorEastAsia" w:hAnsi="Arial" w:cs="Arial"/>
            <w:b/>
            <w:bCs/>
            <w:color w:val="0645AD"/>
            <w:sz w:val="20"/>
            <w:szCs w:val="20"/>
            <w:shd w:val="clear" w:color="auto" w:fill="FFFFFF"/>
            <w:lang/>
          </w:rPr>
          <w:t>^</w:t>
        </w:r>
      </w:hyperlink>
      <w:r w:rsidRPr="00D968C5">
        <w:rPr>
          <w:rStyle w:val="apple-converted-space"/>
          <w:rFonts w:ascii="Arial" w:eastAsiaTheme="majorEastAsia" w:hAnsi="Arial" w:cs="Arial"/>
          <w:color w:val="000000"/>
          <w:sz w:val="20"/>
          <w:szCs w:val="20"/>
          <w:shd w:val="clear" w:color="auto" w:fill="FFFFFF"/>
          <w:lang/>
        </w:rPr>
        <w:t> </w:t>
      </w:r>
      <w:hyperlink r:id="rId25" w:history="1">
        <w:r w:rsidRPr="00D968C5">
          <w:rPr>
            <w:rStyle w:val="Hyperlink"/>
            <w:rFonts w:ascii="Arial" w:eastAsiaTheme="majorEastAsia" w:hAnsi="Arial" w:cs="Arial"/>
            <w:color w:val="3366BB"/>
            <w:sz w:val="20"/>
            <w:szCs w:val="20"/>
            <w:shd w:val="clear" w:color="auto" w:fill="FFFFFF"/>
            <w:lang/>
          </w:rPr>
          <w:t xml:space="preserve">"History of the </w:t>
        </w:r>
        <w:proofErr w:type="spellStart"/>
        <w:r w:rsidRPr="00D968C5">
          <w:rPr>
            <w:rStyle w:val="Hyperlink"/>
            <w:rFonts w:ascii="Arial" w:eastAsiaTheme="majorEastAsia" w:hAnsi="Arial" w:cs="Arial"/>
            <w:color w:val="3366BB"/>
            <w:sz w:val="20"/>
            <w:szCs w:val="20"/>
            <w:shd w:val="clear" w:color="auto" w:fill="FFFFFF"/>
            <w:lang/>
          </w:rPr>
          <w:t>Autostrade</w:t>
        </w:r>
        <w:proofErr w:type="spellEnd"/>
        <w:r w:rsidRPr="00D968C5">
          <w:rPr>
            <w:rStyle w:val="Hyperlink"/>
            <w:rFonts w:ascii="Arial" w:eastAsiaTheme="majorEastAsia" w:hAnsi="Arial" w:cs="Arial"/>
            <w:color w:val="3366BB"/>
            <w:sz w:val="20"/>
            <w:szCs w:val="20"/>
            <w:shd w:val="clear" w:color="auto" w:fill="FFFFFF"/>
            <w:lang/>
          </w:rPr>
          <w:t xml:space="preserve"> Group"</w:t>
        </w:r>
      </w:hyperlink>
      <w:r w:rsidRPr="00D968C5">
        <w:rPr>
          <w:rStyle w:val="citation"/>
          <w:rFonts w:ascii="Arial" w:hAnsi="Arial" w:cs="Arial"/>
          <w:color w:val="000000"/>
          <w:sz w:val="20"/>
          <w:szCs w:val="20"/>
          <w:shd w:val="clear" w:color="auto" w:fill="FFFFFF"/>
          <w:lang/>
        </w:rPr>
        <w:t>.</w:t>
      </w:r>
    </w:p>
    <w:p w:rsidR="001D63E3" w:rsidRPr="00D968C5" w:rsidRDefault="001D63E3" w:rsidP="001D63E3">
      <w:pPr>
        <w:numPr>
          <w:ilvl w:val="1"/>
          <w:numId w:val="6"/>
        </w:numPr>
        <w:spacing w:before="100" w:beforeAutospacing="1" w:after="24" w:line="360" w:lineRule="atLeast"/>
        <w:ind w:left="768"/>
        <w:rPr>
          <w:rFonts w:ascii="Arial" w:hAnsi="Arial" w:cs="Arial"/>
          <w:color w:val="000000"/>
          <w:sz w:val="20"/>
          <w:szCs w:val="20"/>
          <w:shd w:val="clear" w:color="auto" w:fill="FFFFFF"/>
          <w:lang/>
        </w:rPr>
      </w:pPr>
      <w:hyperlink r:id="rId26" w:anchor="cite_ref-1" w:history="1">
        <w:r w:rsidRPr="00D968C5">
          <w:rPr>
            <w:rStyle w:val="Hyperlink"/>
            <w:rFonts w:ascii="Arial" w:eastAsiaTheme="majorEastAsia" w:hAnsi="Arial" w:cs="Arial"/>
            <w:b/>
            <w:bCs/>
            <w:color w:val="0645AD"/>
            <w:sz w:val="20"/>
            <w:szCs w:val="20"/>
            <w:shd w:val="clear" w:color="auto" w:fill="FFFFFF"/>
            <w:lang/>
          </w:rPr>
          <w:t>^</w:t>
        </w:r>
      </w:hyperlink>
      <w:r w:rsidRPr="00D968C5">
        <w:rPr>
          <w:rStyle w:val="apple-converted-space"/>
          <w:rFonts w:ascii="Arial" w:eastAsiaTheme="majorEastAsia" w:hAnsi="Arial" w:cs="Arial"/>
          <w:color w:val="000000"/>
          <w:sz w:val="20"/>
          <w:szCs w:val="20"/>
          <w:shd w:val="clear" w:color="auto" w:fill="FFFFFF"/>
          <w:lang/>
        </w:rPr>
        <w:t> </w:t>
      </w:r>
      <w:r w:rsidRPr="00D968C5">
        <w:rPr>
          <w:rStyle w:val="citation"/>
          <w:rFonts w:ascii="Arial" w:hAnsi="Arial" w:cs="Arial"/>
          <w:color w:val="000000"/>
          <w:sz w:val="20"/>
          <w:szCs w:val="20"/>
          <w:shd w:val="clear" w:color="auto" w:fill="FFFFFF"/>
          <w:lang/>
        </w:rPr>
        <w:t xml:space="preserve">"$15M. </w:t>
      </w:r>
      <w:proofErr w:type="spellStart"/>
      <w:r w:rsidRPr="00D968C5">
        <w:rPr>
          <w:rStyle w:val="citation"/>
          <w:rFonts w:ascii="Arial" w:hAnsi="Arial" w:cs="Arial"/>
          <w:color w:val="000000"/>
          <w:sz w:val="20"/>
          <w:szCs w:val="20"/>
          <w:shd w:val="clear" w:color="auto" w:fill="FFFFFF"/>
          <w:lang/>
        </w:rPr>
        <w:t>Autostrade</w:t>
      </w:r>
      <w:proofErr w:type="spellEnd"/>
      <w:r w:rsidRPr="00D968C5">
        <w:rPr>
          <w:rStyle w:val="citation"/>
          <w:rFonts w:ascii="Arial" w:hAnsi="Arial" w:cs="Arial"/>
          <w:color w:val="000000"/>
          <w:sz w:val="20"/>
          <w:szCs w:val="20"/>
          <w:shd w:val="clear" w:color="auto" w:fill="FFFFFF"/>
          <w:lang/>
        </w:rPr>
        <w:t xml:space="preserve"> Loan, Consortium Headed By </w:t>
      </w:r>
      <w:proofErr w:type="spellStart"/>
      <w:r w:rsidRPr="00D968C5">
        <w:rPr>
          <w:rStyle w:val="citation"/>
          <w:rFonts w:ascii="Arial" w:hAnsi="Arial" w:cs="Arial"/>
          <w:color w:val="000000"/>
          <w:sz w:val="20"/>
          <w:szCs w:val="20"/>
          <w:shd w:val="clear" w:color="auto" w:fill="FFFFFF"/>
          <w:lang/>
        </w:rPr>
        <w:t>Warburgs</w:t>
      </w:r>
      <w:proofErr w:type="spellEnd"/>
      <w:r w:rsidRPr="00D968C5">
        <w:rPr>
          <w:rStyle w:val="citation"/>
          <w:rFonts w:ascii="Arial" w:hAnsi="Arial" w:cs="Arial"/>
          <w:color w:val="000000"/>
          <w:sz w:val="20"/>
          <w:szCs w:val="20"/>
          <w:shd w:val="clear" w:color="auto" w:fill="FFFFFF"/>
          <w:lang/>
        </w:rPr>
        <w:t>".</w:t>
      </w:r>
      <w:r w:rsidRPr="00D968C5">
        <w:rPr>
          <w:rStyle w:val="apple-converted-space"/>
          <w:rFonts w:ascii="Arial" w:eastAsiaTheme="majorEastAsia" w:hAnsi="Arial" w:cs="Arial"/>
          <w:color w:val="000000"/>
          <w:sz w:val="20"/>
          <w:szCs w:val="20"/>
          <w:shd w:val="clear" w:color="auto" w:fill="FFFFFF"/>
          <w:lang/>
        </w:rPr>
        <w:t> </w:t>
      </w:r>
      <w:r w:rsidRPr="00D968C5">
        <w:rPr>
          <w:rStyle w:val="citation"/>
          <w:rFonts w:ascii="Arial" w:hAnsi="Arial" w:cs="Arial"/>
          <w:i/>
          <w:iCs/>
          <w:color w:val="000000"/>
          <w:sz w:val="20"/>
          <w:szCs w:val="20"/>
          <w:shd w:val="clear" w:color="auto" w:fill="FFFFFF"/>
          <w:lang/>
        </w:rPr>
        <w:t>The Times</w:t>
      </w:r>
      <w:r w:rsidRPr="00D968C5">
        <w:rPr>
          <w:rStyle w:val="citation"/>
          <w:rFonts w:ascii="Arial" w:hAnsi="Arial" w:cs="Arial"/>
          <w:color w:val="000000"/>
          <w:sz w:val="20"/>
          <w:szCs w:val="20"/>
          <w:shd w:val="clear" w:color="auto" w:fill="FFFFFF"/>
          <w:lang/>
        </w:rPr>
        <w:t>. 19 June 1963.</w:t>
      </w:r>
    </w:p>
    <w:p w:rsidR="001D63E3" w:rsidRPr="00D968C5" w:rsidRDefault="001D63E3" w:rsidP="001D63E3">
      <w:pPr>
        <w:numPr>
          <w:ilvl w:val="1"/>
          <w:numId w:val="6"/>
        </w:numPr>
        <w:spacing w:before="100" w:beforeAutospacing="1" w:after="24" w:line="360" w:lineRule="atLeast"/>
        <w:ind w:left="768"/>
        <w:rPr>
          <w:rFonts w:ascii="Arial" w:hAnsi="Arial" w:cs="Arial"/>
          <w:color w:val="000000"/>
          <w:sz w:val="20"/>
          <w:szCs w:val="20"/>
          <w:shd w:val="clear" w:color="auto" w:fill="FFFFFF"/>
          <w:lang/>
        </w:rPr>
      </w:pPr>
      <w:hyperlink r:id="rId27" w:anchor="cite_ref-2" w:history="1">
        <w:r w:rsidRPr="00D968C5">
          <w:rPr>
            <w:rStyle w:val="Hyperlink"/>
            <w:rFonts w:ascii="Arial" w:eastAsiaTheme="majorEastAsia" w:hAnsi="Arial" w:cs="Arial"/>
            <w:b/>
            <w:bCs/>
            <w:color w:val="0645AD"/>
            <w:sz w:val="20"/>
            <w:szCs w:val="20"/>
            <w:shd w:val="clear" w:color="auto" w:fill="FFFFFF"/>
            <w:lang/>
          </w:rPr>
          <w:t>^</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Ferguson, Niall, High Financier: the Lives and Times of </w:t>
      </w:r>
      <w:proofErr w:type="spellStart"/>
      <w:r w:rsidRPr="00D968C5">
        <w:rPr>
          <w:rFonts w:ascii="Arial" w:hAnsi="Arial" w:cs="Arial"/>
          <w:color w:val="000000"/>
          <w:sz w:val="20"/>
          <w:szCs w:val="20"/>
          <w:shd w:val="clear" w:color="auto" w:fill="FFFFFF"/>
          <w:lang/>
        </w:rPr>
        <w:t>Siegmund</w:t>
      </w:r>
      <w:proofErr w:type="spellEnd"/>
      <w:r w:rsidRPr="00D968C5">
        <w:rPr>
          <w:rFonts w:ascii="Arial" w:hAnsi="Arial" w:cs="Arial"/>
          <w:color w:val="000000"/>
          <w:sz w:val="20"/>
          <w:szCs w:val="20"/>
          <w:shd w:val="clear" w:color="auto" w:fill="FFFFFF"/>
          <w:lang/>
        </w:rPr>
        <w:t xml:space="preserve"> Warburg, 220 (2010).</w:t>
      </w:r>
    </w:p>
    <w:tbl>
      <w:tblPr>
        <w:tblW w:w="12165" w:type="dxa"/>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tblPr>
      <w:tblGrid>
        <w:gridCol w:w="12165"/>
      </w:tblGrid>
      <w:tr w:rsidR="001D63E3" w:rsidRPr="00D968C5" w:rsidTr="001D63E3">
        <w:trPr>
          <w:tblCellSpacing w:w="0" w:type="dxa"/>
        </w:trPr>
        <w:tc>
          <w:tcPr>
            <w:tcW w:w="0" w:type="auto"/>
            <w:shd w:val="clear" w:color="auto" w:fill="FDFDFD"/>
            <w:tcMar>
              <w:top w:w="30" w:type="dxa"/>
              <w:left w:w="30" w:type="dxa"/>
              <w:bottom w:w="30" w:type="dxa"/>
              <w:right w:w="30" w:type="dxa"/>
            </w:tcMar>
            <w:vAlign w:val="center"/>
            <w:hideMark/>
          </w:tcPr>
          <w:tbl>
            <w:tblPr>
              <w:tblW w:w="9180" w:type="dxa"/>
              <w:tblCellSpacing w:w="0" w:type="dxa"/>
              <w:tblCellMar>
                <w:top w:w="15" w:type="dxa"/>
                <w:left w:w="15" w:type="dxa"/>
                <w:bottom w:w="15" w:type="dxa"/>
                <w:right w:w="15" w:type="dxa"/>
              </w:tblCellMar>
              <w:tblLook w:val="04A0"/>
            </w:tblPr>
            <w:tblGrid>
              <w:gridCol w:w="1558"/>
              <w:gridCol w:w="7622"/>
            </w:tblGrid>
            <w:tr w:rsidR="001D63E3" w:rsidRPr="00D968C5" w:rsidTr="001D63E3">
              <w:trPr>
                <w:tblCellSpacing w:w="0" w:type="dxa"/>
              </w:trPr>
              <w:tc>
                <w:tcPr>
                  <w:tcW w:w="9180" w:type="dxa"/>
                  <w:gridSpan w:val="2"/>
                  <w:shd w:val="clear" w:color="auto" w:fill="CCCCFF"/>
                  <w:tcMar>
                    <w:top w:w="15" w:type="dxa"/>
                    <w:left w:w="240" w:type="dxa"/>
                    <w:bottom w:w="15" w:type="dxa"/>
                    <w:right w:w="240" w:type="dxa"/>
                  </w:tcMar>
                  <w:vAlign w:val="center"/>
                  <w:hideMark/>
                </w:tcPr>
                <w:p w:rsidR="001D63E3" w:rsidRPr="00D968C5" w:rsidRDefault="001D63E3">
                  <w:pPr>
                    <w:jc w:val="center"/>
                    <w:rPr>
                      <w:rFonts w:ascii="Arial" w:hAnsi="Arial" w:cs="Arial"/>
                      <w:b/>
                      <w:bCs/>
                      <w:sz w:val="20"/>
                      <w:szCs w:val="20"/>
                    </w:rPr>
                  </w:pPr>
                  <w:r w:rsidRPr="00D968C5">
                    <w:rPr>
                      <w:rStyle w:val="collapsebutton"/>
                      <w:rFonts w:ascii="Arial" w:hAnsi="Arial" w:cs="Arial"/>
                      <w:sz w:val="20"/>
                      <w:szCs w:val="20"/>
                    </w:rPr>
                    <w:t>[</w:t>
                  </w:r>
                  <w:hyperlink r:id="rId28" w:history="1">
                    <w:r w:rsidRPr="00D968C5">
                      <w:rPr>
                        <w:rStyle w:val="Hyperlink"/>
                        <w:rFonts w:ascii="Arial" w:eastAsiaTheme="majorEastAsia" w:hAnsi="Arial" w:cs="Arial"/>
                        <w:color w:val="0645AD"/>
                        <w:sz w:val="20"/>
                        <w:szCs w:val="20"/>
                      </w:rPr>
                      <w:t>hide</w:t>
                    </w:r>
                  </w:hyperlink>
                  <w:r w:rsidRPr="00D968C5">
                    <w:rPr>
                      <w:rStyle w:val="collapsebutton"/>
                      <w:rFonts w:ascii="Arial" w:hAnsi="Arial" w:cs="Arial"/>
                      <w:sz w:val="20"/>
                      <w:szCs w:val="20"/>
                    </w:rPr>
                    <w:t>]</w:t>
                  </w:r>
                  <w:hyperlink r:id="rId29" w:tooltip="Template:Bond market" w:history="1">
                    <w:r w:rsidRPr="00D968C5">
                      <w:rPr>
                        <w:rStyle w:val="Hyperlink"/>
                        <w:rFonts w:ascii="Arial" w:eastAsiaTheme="majorEastAsia" w:hAnsi="Arial" w:cs="Arial"/>
                        <w:color w:val="0645AD"/>
                        <w:sz w:val="20"/>
                        <w:szCs w:val="20"/>
                        <w:bdr w:val="none" w:sz="0" w:space="0" w:color="auto" w:frame="1"/>
                      </w:rPr>
                      <w:t>v</w:t>
                    </w:r>
                  </w:hyperlink>
                  <w:r w:rsidRPr="00D968C5">
                    <w:rPr>
                      <w:rStyle w:val="apple-converted-space"/>
                      <w:rFonts w:ascii="Arial" w:eastAsiaTheme="majorEastAsia" w:hAnsi="Arial" w:cs="Arial"/>
                      <w:sz w:val="20"/>
                      <w:szCs w:val="20"/>
                    </w:rPr>
                    <w:t> </w:t>
                  </w:r>
                  <w:r w:rsidRPr="00D968C5">
                    <w:rPr>
                      <w:rStyle w:val="noprint"/>
                      <w:rFonts w:ascii="Arial" w:eastAsiaTheme="majorEastAsia" w:hAnsi="Arial" w:cs="Arial"/>
                      <w:b/>
                      <w:bCs/>
                      <w:sz w:val="20"/>
                      <w:szCs w:val="20"/>
                      <w:bdr w:val="none" w:sz="0" w:space="0" w:color="auto" w:frame="1"/>
                    </w:rPr>
                    <w:t>·</w:t>
                  </w:r>
                  <w:r w:rsidRPr="00D968C5">
                    <w:rPr>
                      <w:rStyle w:val="apple-converted-space"/>
                      <w:rFonts w:ascii="Arial" w:eastAsiaTheme="majorEastAsia" w:hAnsi="Arial" w:cs="Arial"/>
                      <w:sz w:val="20"/>
                      <w:szCs w:val="20"/>
                    </w:rPr>
                    <w:t> </w:t>
                  </w:r>
                  <w:hyperlink r:id="rId30" w:tooltip="Template talk:Bond market" w:history="1">
                    <w:r w:rsidRPr="00D968C5">
                      <w:rPr>
                        <w:rStyle w:val="Hyperlink"/>
                        <w:rFonts w:ascii="Arial" w:eastAsiaTheme="majorEastAsia" w:hAnsi="Arial" w:cs="Arial"/>
                        <w:color w:val="0645AD"/>
                        <w:sz w:val="20"/>
                        <w:szCs w:val="20"/>
                        <w:bdr w:val="none" w:sz="0" w:space="0" w:color="auto" w:frame="1"/>
                      </w:rPr>
                      <w:t>d</w:t>
                    </w:r>
                  </w:hyperlink>
                  <w:r w:rsidRPr="00D968C5">
                    <w:rPr>
                      <w:rStyle w:val="apple-converted-space"/>
                      <w:rFonts w:ascii="Arial" w:eastAsiaTheme="majorEastAsia" w:hAnsi="Arial" w:cs="Arial"/>
                      <w:sz w:val="20"/>
                      <w:szCs w:val="20"/>
                    </w:rPr>
                    <w:t> </w:t>
                  </w:r>
                  <w:r w:rsidRPr="00D968C5">
                    <w:rPr>
                      <w:rStyle w:val="noprint"/>
                      <w:rFonts w:ascii="Arial" w:eastAsiaTheme="majorEastAsia" w:hAnsi="Arial" w:cs="Arial"/>
                      <w:b/>
                      <w:bCs/>
                      <w:sz w:val="20"/>
                      <w:szCs w:val="20"/>
                      <w:bdr w:val="none" w:sz="0" w:space="0" w:color="auto" w:frame="1"/>
                    </w:rPr>
                    <w:t>·</w:t>
                  </w:r>
                  <w:r w:rsidRPr="00D968C5">
                    <w:rPr>
                      <w:rStyle w:val="apple-converted-space"/>
                      <w:rFonts w:ascii="Arial" w:eastAsiaTheme="majorEastAsia" w:hAnsi="Arial" w:cs="Arial"/>
                      <w:sz w:val="20"/>
                      <w:szCs w:val="20"/>
                    </w:rPr>
                    <w:t> </w:t>
                  </w:r>
                  <w:hyperlink r:id="rId31" w:history="1">
                    <w:proofErr w:type="spellStart"/>
                    <w:r w:rsidRPr="00D968C5">
                      <w:rPr>
                        <w:rStyle w:val="Hyperlink"/>
                        <w:rFonts w:ascii="Arial" w:eastAsiaTheme="majorEastAsia" w:hAnsi="Arial" w:cs="Arial"/>
                        <w:color w:val="3366BB"/>
                        <w:sz w:val="20"/>
                        <w:szCs w:val="20"/>
                        <w:bdr w:val="none" w:sz="0" w:space="0" w:color="auto" w:frame="1"/>
                      </w:rPr>
                      <w:t>e</w:t>
                    </w:r>
                  </w:hyperlink>
                  <w:hyperlink r:id="rId32" w:tooltip="Bond market" w:history="1">
                    <w:r w:rsidRPr="00D968C5">
                      <w:rPr>
                        <w:rStyle w:val="Hyperlink"/>
                        <w:rFonts w:ascii="Arial" w:eastAsiaTheme="majorEastAsia" w:hAnsi="Arial" w:cs="Arial"/>
                        <w:b/>
                        <w:bCs/>
                        <w:color w:val="0645AD"/>
                        <w:sz w:val="20"/>
                        <w:szCs w:val="20"/>
                      </w:rPr>
                      <w:t>Bond</w:t>
                    </w:r>
                    <w:proofErr w:type="spellEnd"/>
                    <w:r w:rsidRPr="00D968C5">
                      <w:rPr>
                        <w:rStyle w:val="Hyperlink"/>
                        <w:rFonts w:ascii="Arial" w:eastAsiaTheme="majorEastAsia" w:hAnsi="Arial" w:cs="Arial"/>
                        <w:b/>
                        <w:bCs/>
                        <w:color w:val="0645AD"/>
                        <w:sz w:val="20"/>
                        <w:szCs w:val="20"/>
                      </w:rPr>
                      <w:t xml:space="preserve"> market</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9180" w:type="dxa"/>
                  <w:gridSpan w:val="2"/>
                  <w:shd w:val="clear" w:color="auto" w:fill="DDDDFF"/>
                  <w:tcMar>
                    <w:top w:w="15" w:type="dxa"/>
                    <w:left w:w="240" w:type="dxa"/>
                    <w:bottom w:w="15" w:type="dxa"/>
                    <w:right w:w="240" w:type="dxa"/>
                  </w:tcMar>
                  <w:vAlign w:val="center"/>
                  <w:hideMark/>
                </w:tcPr>
                <w:p w:rsidR="001D63E3" w:rsidRPr="00D968C5" w:rsidRDefault="001D63E3">
                  <w:pPr>
                    <w:jc w:val="center"/>
                    <w:rPr>
                      <w:rFonts w:ascii="Arial" w:hAnsi="Arial" w:cs="Arial"/>
                      <w:sz w:val="20"/>
                      <w:szCs w:val="20"/>
                    </w:rPr>
                  </w:pPr>
                  <w:hyperlink r:id="rId33" w:tooltip="Bond (finance)" w:history="1">
                    <w:r w:rsidRPr="00D968C5">
                      <w:rPr>
                        <w:rStyle w:val="Hyperlink"/>
                        <w:rFonts w:ascii="Arial" w:eastAsiaTheme="majorEastAsia" w:hAnsi="Arial" w:cs="Arial"/>
                        <w:color w:val="0645AD"/>
                        <w:sz w:val="20"/>
                        <w:szCs w:val="20"/>
                      </w:rPr>
                      <w:t>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34" w:tooltip="Debenture" w:history="1">
                    <w:r w:rsidRPr="00D968C5">
                      <w:rPr>
                        <w:rStyle w:val="Hyperlink"/>
                        <w:rFonts w:ascii="Arial" w:eastAsiaTheme="majorEastAsia" w:hAnsi="Arial" w:cs="Arial"/>
                        <w:color w:val="0645AD"/>
                        <w:sz w:val="20"/>
                        <w:szCs w:val="20"/>
                      </w:rPr>
                      <w:t>Debenture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35" w:tooltip="Fixed income" w:history="1">
                    <w:r w:rsidRPr="00D968C5">
                      <w:rPr>
                        <w:rStyle w:val="Hyperlink"/>
                        <w:rFonts w:ascii="Arial" w:eastAsiaTheme="majorEastAsia" w:hAnsi="Arial" w:cs="Arial"/>
                        <w:color w:val="0645AD"/>
                        <w:sz w:val="20"/>
                        <w:szCs w:val="20"/>
                      </w:rPr>
                      <w:t>Fixed income</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r w:rsidRPr="00D968C5">
                    <w:rPr>
                      <w:rFonts w:ascii="Arial" w:hAnsi="Arial" w:cs="Arial"/>
                      <w:b/>
                      <w:bCs/>
                      <w:sz w:val="20"/>
                      <w:szCs w:val="20"/>
                    </w:rPr>
                    <w:t>Types of bonds by issuer</w:t>
                  </w:r>
                </w:p>
              </w:tc>
              <w:tc>
                <w:tcPr>
                  <w:tcW w:w="7740"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36" w:tooltip="Agency debt" w:history="1">
                    <w:r w:rsidRPr="00D968C5">
                      <w:rPr>
                        <w:rStyle w:val="Hyperlink"/>
                        <w:rFonts w:ascii="Arial" w:eastAsiaTheme="majorEastAsia" w:hAnsi="Arial" w:cs="Arial"/>
                        <w:color w:val="0645AD"/>
                        <w:sz w:val="20"/>
                        <w:szCs w:val="20"/>
                      </w:rPr>
                      <w:t>Agency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37" w:tooltip="Corporate bond" w:history="1">
                    <w:r w:rsidRPr="00D968C5">
                      <w:rPr>
                        <w:rStyle w:val="Hyperlink"/>
                        <w:rFonts w:ascii="Arial" w:eastAsiaTheme="majorEastAsia" w:hAnsi="Arial" w:cs="Arial"/>
                        <w:color w:val="0645AD"/>
                        <w:sz w:val="20"/>
                        <w:szCs w:val="20"/>
                      </w:rPr>
                      <w:t>Corporate bond</w:t>
                    </w:r>
                  </w:hyperlink>
                  <w:r w:rsidRPr="00D968C5">
                    <w:rPr>
                      <w:rStyle w:val="apple-converted-space"/>
                      <w:rFonts w:ascii="Arial" w:eastAsiaTheme="majorEastAsia" w:hAnsi="Arial" w:cs="Arial"/>
                      <w:sz w:val="20"/>
                      <w:szCs w:val="20"/>
                    </w:rPr>
                    <w:t> </w:t>
                  </w:r>
                  <w:r w:rsidRPr="00D968C5">
                    <w:rPr>
                      <w:rFonts w:ascii="Arial" w:hAnsi="Arial" w:cs="Arial"/>
                      <w:sz w:val="20"/>
                      <w:szCs w:val="20"/>
                    </w:rPr>
                    <w:t>(</w:t>
                  </w:r>
                  <w:hyperlink r:id="rId38" w:tooltip="Senior debt" w:history="1">
                    <w:r w:rsidRPr="00D968C5">
                      <w:rPr>
                        <w:rStyle w:val="Hyperlink"/>
                        <w:rFonts w:ascii="Arial" w:eastAsiaTheme="majorEastAsia" w:hAnsi="Arial" w:cs="Arial"/>
                        <w:color w:val="0645AD"/>
                        <w:sz w:val="20"/>
                        <w:szCs w:val="20"/>
                      </w:rPr>
                      <w:t>Senior debt</w:t>
                    </w:r>
                  </w:hyperlink>
                  <w:r w:rsidRPr="00D968C5">
                    <w:rPr>
                      <w:rFonts w:ascii="Arial" w:hAnsi="Arial" w:cs="Arial"/>
                      <w:sz w:val="20"/>
                      <w:szCs w:val="20"/>
                    </w:rPr>
                    <w:t>,</w:t>
                  </w:r>
                  <w:r w:rsidRPr="00D968C5">
                    <w:rPr>
                      <w:rStyle w:val="apple-converted-space"/>
                      <w:rFonts w:ascii="Arial" w:eastAsiaTheme="majorEastAsia" w:hAnsi="Arial" w:cs="Arial"/>
                      <w:sz w:val="20"/>
                      <w:szCs w:val="20"/>
                    </w:rPr>
                    <w:t> </w:t>
                  </w:r>
                  <w:hyperlink r:id="rId39" w:tooltip="Subordinated debt" w:history="1">
                    <w:r w:rsidRPr="00D968C5">
                      <w:rPr>
                        <w:rStyle w:val="Hyperlink"/>
                        <w:rFonts w:ascii="Arial" w:eastAsiaTheme="majorEastAsia" w:hAnsi="Arial" w:cs="Arial"/>
                        <w:color w:val="0645AD"/>
                        <w:sz w:val="20"/>
                        <w:szCs w:val="20"/>
                      </w:rPr>
                      <w:t>Subordinated debt</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0" w:tooltip="Distressed debt" w:history="1">
                    <w:r w:rsidRPr="00D968C5">
                      <w:rPr>
                        <w:rStyle w:val="Hyperlink"/>
                        <w:rFonts w:ascii="Arial" w:eastAsiaTheme="majorEastAsia" w:hAnsi="Arial" w:cs="Arial"/>
                        <w:color w:val="0645AD"/>
                        <w:sz w:val="20"/>
                        <w:szCs w:val="20"/>
                      </w:rPr>
                      <w:t>Distressed debt</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1" w:tooltip="Emerging market debt" w:history="1">
                    <w:r w:rsidRPr="00D968C5">
                      <w:rPr>
                        <w:rStyle w:val="Hyperlink"/>
                        <w:rFonts w:ascii="Arial" w:eastAsiaTheme="majorEastAsia" w:hAnsi="Arial" w:cs="Arial"/>
                        <w:color w:val="0645AD"/>
                        <w:sz w:val="20"/>
                        <w:szCs w:val="20"/>
                      </w:rPr>
                      <w:t>Emerging market debt</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2" w:tooltip="Government bond" w:history="1">
                    <w:r w:rsidRPr="00D968C5">
                      <w:rPr>
                        <w:rStyle w:val="Hyperlink"/>
                        <w:rFonts w:ascii="Arial" w:eastAsiaTheme="majorEastAsia" w:hAnsi="Arial" w:cs="Arial"/>
                        <w:color w:val="0645AD"/>
                        <w:sz w:val="20"/>
                        <w:szCs w:val="20"/>
                      </w:rPr>
                      <w:t>Government bond</w:t>
                    </w:r>
                  </w:hyperlink>
                  <w:r w:rsidRPr="00D968C5">
                    <w:rPr>
                      <w:rFonts w:ascii="Arial" w:hAnsi="Arial" w:cs="Arial"/>
                      <w:sz w:val="20"/>
                      <w:szCs w:val="20"/>
                    </w:rPr>
                    <w:t> </w:t>
                  </w:r>
                  <w:r w:rsidRPr="00D968C5">
                    <w:rPr>
                      <w:rFonts w:ascii="Arial" w:hAnsi="Arial" w:cs="Arial"/>
                      <w:b/>
                      <w:bCs/>
                      <w:sz w:val="20"/>
                      <w:szCs w:val="20"/>
                    </w:rPr>
                    <w:t>·</w:t>
                  </w:r>
                  <w:hyperlink r:id="rId43" w:tooltip="Municipal bond" w:history="1">
                    <w:r w:rsidRPr="00D968C5">
                      <w:rPr>
                        <w:rStyle w:val="Hyperlink"/>
                        <w:rFonts w:ascii="Arial" w:eastAsiaTheme="majorEastAsia" w:hAnsi="Arial" w:cs="Arial"/>
                        <w:color w:val="0645AD"/>
                        <w:sz w:val="20"/>
                        <w:szCs w:val="20"/>
                      </w:rPr>
                      <w:t>Municipal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4" w:tooltip="Sovereign bond" w:history="1">
                    <w:r w:rsidRPr="00D968C5">
                      <w:rPr>
                        <w:rStyle w:val="Hyperlink"/>
                        <w:rFonts w:ascii="Arial" w:eastAsiaTheme="majorEastAsia" w:hAnsi="Arial" w:cs="Arial"/>
                        <w:color w:val="0645AD"/>
                        <w:sz w:val="20"/>
                        <w:szCs w:val="20"/>
                      </w:rPr>
                      <w:t>Sovereign bond</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r w:rsidRPr="00D968C5">
                    <w:rPr>
                      <w:rFonts w:ascii="Arial" w:hAnsi="Arial" w:cs="Arial"/>
                      <w:b/>
                      <w:bCs/>
                      <w:sz w:val="20"/>
                      <w:szCs w:val="20"/>
                    </w:rPr>
                    <w:t>Types of bonds by payout</w:t>
                  </w:r>
                </w:p>
              </w:tc>
              <w:tc>
                <w:tcPr>
                  <w:tcW w:w="7740"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45" w:tooltip="Accrual bond" w:history="1">
                    <w:r w:rsidRPr="00D968C5">
                      <w:rPr>
                        <w:rStyle w:val="Hyperlink"/>
                        <w:rFonts w:ascii="Arial" w:eastAsiaTheme="majorEastAsia" w:hAnsi="Arial" w:cs="Arial"/>
                        <w:color w:val="0645AD"/>
                        <w:sz w:val="20"/>
                        <w:szCs w:val="20"/>
                      </w:rPr>
                      <w:t>Accrual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6" w:tooltip="Auction rate security" w:history="1">
                    <w:r w:rsidRPr="00D968C5">
                      <w:rPr>
                        <w:rStyle w:val="Hyperlink"/>
                        <w:rFonts w:ascii="Arial" w:eastAsiaTheme="majorEastAsia" w:hAnsi="Arial" w:cs="Arial"/>
                        <w:color w:val="0645AD"/>
                        <w:sz w:val="20"/>
                        <w:szCs w:val="20"/>
                      </w:rPr>
                      <w:t>Auction rate security</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7" w:tooltip="Callable bond" w:history="1">
                    <w:r w:rsidRPr="00D968C5">
                      <w:rPr>
                        <w:rStyle w:val="Hyperlink"/>
                        <w:rFonts w:ascii="Arial" w:eastAsiaTheme="majorEastAsia" w:hAnsi="Arial" w:cs="Arial"/>
                        <w:color w:val="0645AD"/>
                        <w:sz w:val="20"/>
                        <w:szCs w:val="20"/>
                      </w:rPr>
                      <w:t>Callable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8" w:tooltip="Commercial paper" w:history="1">
                    <w:r w:rsidRPr="00D968C5">
                      <w:rPr>
                        <w:rStyle w:val="Hyperlink"/>
                        <w:rFonts w:ascii="Arial" w:eastAsiaTheme="majorEastAsia" w:hAnsi="Arial" w:cs="Arial"/>
                        <w:color w:val="0645AD"/>
                        <w:sz w:val="20"/>
                        <w:szCs w:val="20"/>
                      </w:rPr>
                      <w:t>Commercial paper</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49" w:tooltip="Convertible bond" w:history="1">
                    <w:r w:rsidRPr="00D968C5">
                      <w:rPr>
                        <w:rStyle w:val="Hyperlink"/>
                        <w:rFonts w:ascii="Arial" w:eastAsiaTheme="majorEastAsia" w:hAnsi="Arial" w:cs="Arial"/>
                        <w:color w:val="0645AD"/>
                        <w:sz w:val="20"/>
                        <w:szCs w:val="20"/>
                      </w:rPr>
                      <w:t>Convertible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0" w:tooltip="Exchangeable bond" w:history="1">
                    <w:r w:rsidRPr="00D968C5">
                      <w:rPr>
                        <w:rStyle w:val="Hyperlink"/>
                        <w:rFonts w:ascii="Arial" w:eastAsiaTheme="majorEastAsia" w:hAnsi="Arial" w:cs="Arial"/>
                        <w:color w:val="0645AD"/>
                        <w:sz w:val="20"/>
                        <w:szCs w:val="20"/>
                      </w:rPr>
                      <w:t>Exchangeable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1" w:tooltip="Extendible bond" w:history="1">
                    <w:r w:rsidRPr="00D968C5">
                      <w:rPr>
                        <w:rStyle w:val="Hyperlink"/>
                        <w:rFonts w:ascii="Arial" w:eastAsiaTheme="majorEastAsia" w:hAnsi="Arial" w:cs="Arial"/>
                        <w:color w:val="0645AD"/>
                        <w:sz w:val="20"/>
                        <w:szCs w:val="20"/>
                      </w:rPr>
                      <w:t>Extendible bond</w:t>
                    </w:r>
                  </w:hyperlink>
                  <w:r w:rsidRPr="00D968C5">
                    <w:rPr>
                      <w:rFonts w:ascii="Arial" w:hAnsi="Arial" w:cs="Arial"/>
                      <w:sz w:val="20"/>
                      <w:szCs w:val="20"/>
                    </w:rPr>
                    <w:t> </w:t>
                  </w:r>
                  <w:r w:rsidRPr="00D968C5">
                    <w:rPr>
                      <w:rFonts w:ascii="Arial" w:hAnsi="Arial" w:cs="Arial"/>
                      <w:b/>
                      <w:bCs/>
                      <w:sz w:val="20"/>
                      <w:szCs w:val="20"/>
                    </w:rPr>
                    <w:t>·</w:t>
                  </w:r>
                  <w:hyperlink r:id="rId52" w:tooltip="Fixed rate bond" w:history="1">
                    <w:r w:rsidRPr="00D968C5">
                      <w:rPr>
                        <w:rStyle w:val="Hyperlink"/>
                        <w:rFonts w:ascii="Arial" w:eastAsiaTheme="majorEastAsia" w:hAnsi="Arial" w:cs="Arial"/>
                        <w:color w:val="0645AD"/>
                        <w:sz w:val="20"/>
                        <w:szCs w:val="20"/>
                      </w:rPr>
                      <w:t>Fixed rate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3" w:tooltip="Floating rate note" w:history="1">
                    <w:r w:rsidRPr="00D968C5">
                      <w:rPr>
                        <w:rStyle w:val="Hyperlink"/>
                        <w:rFonts w:ascii="Arial" w:eastAsiaTheme="majorEastAsia" w:hAnsi="Arial" w:cs="Arial"/>
                        <w:color w:val="0645AD"/>
                        <w:sz w:val="20"/>
                        <w:szCs w:val="20"/>
                      </w:rPr>
                      <w:t>Floating rate note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4" w:tooltip="High-yield debt" w:history="1">
                    <w:r w:rsidRPr="00D968C5">
                      <w:rPr>
                        <w:rStyle w:val="Hyperlink"/>
                        <w:rFonts w:ascii="Arial" w:eastAsiaTheme="majorEastAsia" w:hAnsi="Arial" w:cs="Arial"/>
                        <w:color w:val="0645AD"/>
                        <w:sz w:val="20"/>
                        <w:szCs w:val="20"/>
                      </w:rPr>
                      <w:t>High-yield debt</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5" w:tooltip="Inflation-indexed bond" w:history="1">
                    <w:r w:rsidRPr="00D968C5">
                      <w:rPr>
                        <w:rStyle w:val="Hyperlink"/>
                        <w:rFonts w:ascii="Arial" w:eastAsiaTheme="majorEastAsia" w:hAnsi="Arial" w:cs="Arial"/>
                        <w:color w:val="0645AD"/>
                        <w:sz w:val="20"/>
                        <w:szCs w:val="20"/>
                      </w:rPr>
                      <w:t>Inflation-indexed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6" w:tooltip="Inverse floating rate note" w:history="1">
                    <w:r w:rsidRPr="00D968C5">
                      <w:rPr>
                        <w:rStyle w:val="Hyperlink"/>
                        <w:rFonts w:ascii="Arial" w:eastAsiaTheme="majorEastAsia" w:hAnsi="Arial" w:cs="Arial"/>
                        <w:color w:val="0645AD"/>
                        <w:sz w:val="20"/>
                        <w:szCs w:val="20"/>
                      </w:rPr>
                      <w:t>Inverse floating rate note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7" w:tooltip="Perpetual bond" w:history="1">
                    <w:r w:rsidRPr="00D968C5">
                      <w:rPr>
                        <w:rStyle w:val="Hyperlink"/>
                        <w:rFonts w:ascii="Arial" w:eastAsiaTheme="majorEastAsia" w:hAnsi="Arial" w:cs="Arial"/>
                        <w:color w:val="0645AD"/>
                        <w:sz w:val="20"/>
                        <w:szCs w:val="20"/>
                      </w:rPr>
                      <w:t>Perpetual bond</w:t>
                    </w:r>
                  </w:hyperlink>
                  <w:r w:rsidRPr="00D968C5">
                    <w:rPr>
                      <w:rFonts w:ascii="Arial" w:hAnsi="Arial" w:cs="Arial"/>
                      <w:sz w:val="20"/>
                      <w:szCs w:val="20"/>
                    </w:rPr>
                    <w:t> </w:t>
                  </w:r>
                  <w:r w:rsidRPr="00D968C5">
                    <w:rPr>
                      <w:rFonts w:ascii="Arial" w:hAnsi="Arial" w:cs="Arial"/>
                      <w:b/>
                      <w:bCs/>
                      <w:sz w:val="20"/>
                      <w:szCs w:val="20"/>
                    </w:rPr>
                    <w:t>·</w:t>
                  </w:r>
                  <w:proofErr w:type="spellStart"/>
                  <w:r w:rsidRPr="00D968C5">
                    <w:rPr>
                      <w:rFonts w:ascii="Arial" w:hAnsi="Arial" w:cs="Arial"/>
                      <w:sz w:val="20"/>
                      <w:szCs w:val="20"/>
                    </w:rPr>
                    <w:fldChar w:fldCharType="begin"/>
                  </w:r>
                  <w:r w:rsidRPr="00D968C5">
                    <w:rPr>
                      <w:rFonts w:ascii="Arial" w:hAnsi="Arial" w:cs="Arial"/>
                      <w:sz w:val="20"/>
                      <w:szCs w:val="20"/>
                    </w:rPr>
                    <w:instrText xml:space="preserve"> HYPERLINK "http://en.wikipedia.org/wiki/Puttable_bond" \o "Puttable bond" </w:instrText>
                  </w:r>
                  <w:r w:rsidRPr="00D968C5">
                    <w:rPr>
                      <w:rFonts w:ascii="Arial" w:hAnsi="Arial" w:cs="Arial"/>
                      <w:sz w:val="20"/>
                      <w:szCs w:val="20"/>
                    </w:rPr>
                    <w:fldChar w:fldCharType="separate"/>
                  </w:r>
                  <w:r w:rsidRPr="00D968C5">
                    <w:rPr>
                      <w:rStyle w:val="Hyperlink"/>
                      <w:rFonts w:ascii="Arial" w:eastAsiaTheme="majorEastAsia" w:hAnsi="Arial" w:cs="Arial"/>
                      <w:color w:val="0645AD"/>
                      <w:sz w:val="20"/>
                      <w:szCs w:val="20"/>
                    </w:rPr>
                    <w:t>Puttable</w:t>
                  </w:r>
                  <w:proofErr w:type="spellEnd"/>
                  <w:r w:rsidRPr="00D968C5">
                    <w:rPr>
                      <w:rStyle w:val="Hyperlink"/>
                      <w:rFonts w:ascii="Arial" w:eastAsiaTheme="majorEastAsia" w:hAnsi="Arial" w:cs="Arial"/>
                      <w:color w:val="0645AD"/>
                      <w:sz w:val="20"/>
                      <w:szCs w:val="20"/>
                    </w:rPr>
                    <w:t xml:space="preserve"> bond</w:t>
                  </w:r>
                  <w:r w:rsidRPr="00D968C5">
                    <w:rPr>
                      <w:rFonts w:ascii="Arial" w:hAnsi="Arial" w:cs="Arial"/>
                      <w:sz w:val="20"/>
                      <w:szCs w:val="20"/>
                    </w:rPr>
                    <w:fldChar w:fldCharType="end"/>
                  </w:r>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8" w:tooltip="Reverse convertible" w:history="1">
                    <w:r w:rsidRPr="00D968C5">
                      <w:rPr>
                        <w:rStyle w:val="Hyperlink"/>
                        <w:rFonts w:ascii="Arial" w:eastAsiaTheme="majorEastAsia" w:hAnsi="Arial" w:cs="Arial"/>
                        <w:color w:val="0645AD"/>
                        <w:sz w:val="20"/>
                        <w:szCs w:val="20"/>
                      </w:rPr>
                      <w:t>Reverse convertible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59" w:tooltip="Zero-coupon bond" w:history="1">
                    <w:r w:rsidRPr="00D968C5">
                      <w:rPr>
                        <w:rStyle w:val="Hyperlink"/>
                        <w:rFonts w:ascii="Arial" w:eastAsiaTheme="majorEastAsia" w:hAnsi="Arial" w:cs="Arial"/>
                        <w:color w:val="0645AD"/>
                        <w:sz w:val="20"/>
                        <w:szCs w:val="20"/>
                      </w:rPr>
                      <w:t>Zero-coupon bond</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hyperlink r:id="rId60" w:tooltip="Bond valuation" w:history="1">
                    <w:r w:rsidRPr="00D968C5">
                      <w:rPr>
                        <w:rStyle w:val="Hyperlink"/>
                        <w:rFonts w:ascii="Arial" w:eastAsiaTheme="majorEastAsia" w:hAnsi="Arial" w:cs="Arial"/>
                        <w:b/>
                        <w:bCs/>
                        <w:color w:val="0645AD"/>
                        <w:sz w:val="20"/>
                        <w:szCs w:val="20"/>
                      </w:rPr>
                      <w:t>Bond valuation</w:t>
                    </w:r>
                  </w:hyperlink>
                </w:p>
              </w:tc>
              <w:tc>
                <w:tcPr>
                  <w:tcW w:w="7740"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61" w:tooltip="Clean price" w:history="1">
                    <w:r w:rsidRPr="00D968C5">
                      <w:rPr>
                        <w:rStyle w:val="Hyperlink"/>
                        <w:rFonts w:ascii="Arial" w:eastAsiaTheme="majorEastAsia" w:hAnsi="Arial" w:cs="Arial"/>
                        <w:color w:val="0645AD"/>
                        <w:sz w:val="20"/>
                        <w:szCs w:val="20"/>
                      </w:rPr>
                      <w:t>Clean price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2" w:tooltip="Bond convexity" w:history="1">
                    <w:r w:rsidRPr="00D968C5">
                      <w:rPr>
                        <w:rStyle w:val="Hyperlink"/>
                        <w:rFonts w:ascii="Arial" w:eastAsiaTheme="majorEastAsia" w:hAnsi="Arial" w:cs="Arial"/>
                        <w:color w:val="0645AD"/>
                        <w:sz w:val="20"/>
                        <w:szCs w:val="20"/>
                      </w:rPr>
                      <w:t>Convexity</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3" w:tooltip="Coupon (bond)" w:history="1">
                    <w:r w:rsidRPr="00D968C5">
                      <w:rPr>
                        <w:rStyle w:val="Hyperlink"/>
                        <w:rFonts w:ascii="Arial" w:eastAsiaTheme="majorEastAsia" w:hAnsi="Arial" w:cs="Arial"/>
                        <w:color w:val="0645AD"/>
                        <w:sz w:val="20"/>
                        <w:szCs w:val="20"/>
                      </w:rPr>
                      <w:t>Coupon</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4" w:tooltip="Nominal yield" w:history="1">
                    <w:r w:rsidRPr="00D968C5">
                      <w:rPr>
                        <w:rStyle w:val="Hyperlink"/>
                        <w:rFonts w:ascii="Arial" w:eastAsiaTheme="majorEastAsia" w:hAnsi="Arial" w:cs="Arial"/>
                        <w:color w:val="0645AD"/>
                        <w:sz w:val="20"/>
                        <w:szCs w:val="20"/>
                      </w:rPr>
                      <w:t>Coupon yield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5" w:tooltip="Credit spread (bond)" w:history="1">
                    <w:r w:rsidRPr="00D968C5">
                      <w:rPr>
                        <w:rStyle w:val="Hyperlink"/>
                        <w:rFonts w:ascii="Arial" w:eastAsiaTheme="majorEastAsia" w:hAnsi="Arial" w:cs="Arial"/>
                        <w:color w:val="0645AD"/>
                        <w:sz w:val="20"/>
                        <w:szCs w:val="20"/>
                      </w:rPr>
                      <w:t>Credit spread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6" w:tooltip="Current yield" w:history="1">
                    <w:r w:rsidRPr="00D968C5">
                      <w:rPr>
                        <w:rStyle w:val="Hyperlink"/>
                        <w:rFonts w:ascii="Arial" w:eastAsiaTheme="majorEastAsia" w:hAnsi="Arial" w:cs="Arial"/>
                        <w:color w:val="0645AD"/>
                        <w:sz w:val="20"/>
                        <w:szCs w:val="20"/>
                      </w:rPr>
                      <w:t>Current yield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7" w:tooltip="Dirty price" w:history="1">
                    <w:r w:rsidRPr="00D968C5">
                      <w:rPr>
                        <w:rStyle w:val="Hyperlink"/>
                        <w:rFonts w:ascii="Arial" w:eastAsiaTheme="majorEastAsia" w:hAnsi="Arial" w:cs="Arial"/>
                        <w:color w:val="0645AD"/>
                        <w:sz w:val="20"/>
                        <w:szCs w:val="20"/>
                      </w:rPr>
                      <w:t>Dirty price</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8" w:tooltip="Bond duration" w:history="1">
                    <w:r w:rsidRPr="00D968C5">
                      <w:rPr>
                        <w:rStyle w:val="Hyperlink"/>
                        <w:rFonts w:ascii="Arial" w:eastAsiaTheme="majorEastAsia" w:hAnsi="Arial" w:cs="Arial"/>
                        <w:color w:val="0645AD"/>
                        <w:sz w:val="20"/>
                        <w:szCs w:val="20"/>
                      </w:rPr>
                      <w:t>Duration</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69" w:tooltip="I-spread" w:history="1">
                    <w:r w:rsidRPr="00D968C5">
                      <w:rPr>
                        <w:rStyle w:val="Hyperlink"/>
                        <w:rFonts w:ascii="Arial" w:eastAsiaTheme="majorEastAsia" w:hAnsi="Arial" w:cs="Arial"/>
                        <w:color w:val="0645AD"/>
                        <w:sz w:val="20"/>
                        <w:szCs w:val="20"/>
                      </w:rPr>
                      <w:t>I-spread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0" w:tooltip="Mortgage yield" w:history="1">
                    <w:r w:rsidRPr="00D968C5">
                      <w:rPr>
                        <w:rStyle w:val="Hyperlink"/>
                        <w:rFonts w:ascii="Arial" w:eastAsiaTheme="majorEastAsia" w:hAnsi="Arial" w:cs="Arial"/>
                        <w:color w:val="0645AD"/>
                        <w:sz w:val="20"/>
                        <w:szCs w:val="20"/>
                      </w:rPr>
                      <w:t>Mortgage yield</w:t>
                    </w:r>
                  </w:hyperlink>
                  <w:r w:rsidRPr="00D968C5">
                    <w:rPr>
                      <w:rFonts w:ascii="Arial" w:hAnsi="Arial" w:cs="Arial"/>
                      <w:sz w:val="20"/>
                      <w:szCs w:val="20"/>
                    </w:rPr>
                    <w:t> </w:t>
                  </w:r>
                  <w:r w:rsidRPr="00D968C5">
                    <w:rPr>
                      <w:rFonts w:ascii="Arial" w:hAnsi="Arial" w:cs="Arial"/>
                      <w:b/>
                      <w:bCs/>
                      <w:sz w:val="20"/>
                      <w:szCs w:val="20"/>
                    </w:rPr>
                    <w:t>·</w:t>
                  </w:r>
                  <w:hyperlink r:id="rId71" w:tooltip="Nominal yield" w:history="1">
                    <w:r w:rsidRPr="00D968C5">
                      <w:rPr>
                        <w:rStyle w:val="Hyperlink"/>
                        <w:rFonts w:ascii="Arial" w:eastAsiaTheme="majorEastAsia" w:hAnsi="Arial" w:cs="Arial"/>
                        <w:color w:val="0645AD"/>
                        <w:sz w:val="20"/>
                        <w:szCs w:val="20"/>
                      </w:rPr>
                      <w:t>Nominal yield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2" w:tooltip="Yield to maturity" w:history="1">
                    <w:r w:rsidRPr="00D968C5">
                      <w:rPr>
                        <w:rStyle w:val="Hyperlink"/>
                        <w:rFonts w:ascii="Arial" w:eastAsiaTheme="majorEastAsia" w:hAnsi="Arial" w:cs="Arial"/>
                        <w:color w:val="0645AD"/>
                        <w:sz w:val="20"/>
                        <w:szCs w:val="20"/>
                      </w:rPr>
                      <w:t>Yield to maturity</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3" w:tooltip="Z-spread" w:history="1">
                    <w:r w:rsidRPr="00D968C5">
                      <w:rPr>
                        <w:rStyle w:val="Hyperlink"/>
                        <w:rFonts w:ascii="Arial" w:eastAsiaTheme="majorEastAsia" w:hAnsi="Arial" w:cs="Arial"/>
                        <w:color w:val="0645AD"/>
                        <w:sz w:val="20"/>
                        <w:szCs w:val="20"/>
                      </w:rPr>
                      <w:t>Z-spread</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r w:rsidRPr="00D968C5">
                    <w:rPr>
                      <w:rFonts w:ascii="Arial" w:hAnsi="Arial" w:cs="Arial"/>
                      <w:b/>
                      <w:bCs/>
                      <w:sz w:val="20"/>
                      <w:szCs w:val="20"/>
                    </w:rPr>
                    <w:t>Securitized products</w:t>
                  </w:r>
                </w:p>
              </w:tc>
              <w:tc>
                <w:tcPr>
                  <w:tcW w:w="7740"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74" w:tooltip="Asset-backed security" w:history="1">
                    <w:r w:rsidRPr="00D968C5">
                      <w:rPr>
                        <w:rStyle w:val="Hyperlink"/>
                        <w:rFonts w:ascii="Arial" w:eastAsiaTheme="majorEastAsia" w:hAnsi="Arial" w:cs="Arial"/>
                        <w:color w:val="0645AD"/>
                        <w:sz w:val="20"/>
                        <w:szCs w:val="20"/>
                      </w:rPr>
                      <w:t>Asset-backed security</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5" w:tooltip="Collateralized debt obligation" w:history="1">
                    <w:r w:rsidRPr="00D968C5">
                      <w:rPr>
                        <w:rStyle w:val="Hyperlink"/>
                        <w:rFonts w:ascii="Arial" w:eastAsiaTheme="majorEastAsia" w:hAnsi="Arial" w:cs="Arial"/>
                        <w:color w:val="0645AD"/>
                        <w:sz w:val="20"/>
                        <w:szCs w:val="20"/>
                      </w:rPr>
                      <w:t>Collateralized debt obligation</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6" w:tooltip="Collateralized mortgage obligation" w:history="1">
                    <w:r w:rsidRPr="00D968C5">
                      <w:rPr>
                        <w:rStyle w:val="Hyperlink"/>
                        <w:rFonts w:ascii="Arial" w:eastAsiaTheme="majorEastAsia" w:hAnsi="Arial" w:cs="Arial"/>
                        <w:color w:val="0645AD"/>
                        <w:sz w:val="20"/>
                        <w:szCs w:val="20"/>
                      </w:rPr>
                      <w:t>Collateralized mortgage obligation</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7" w:tooltip="Commercial mortgage-backed security" w:history="1">
                    <w:r w:rsidRPr="00D968C5">
                      <w:rPr>
                        <w:rStyle w:val="Hyperlink"/>
                        <w:rFonts w:ascii="Arial" w:eastAsiaTheme="majorEastAsia" w:hAnsi="Arial" w:cs="Arial"/>
                        <w:color w:val="0645AD"/>
                        <w:sz w:val="20"/>
                        <w:szCs w:val="20"/>
                      </w:rPr>
                      <w:t>Commercial mortgage-backed security</w:t>
                    </w:r>
                  </w:hyperlink>
                  <w:r w:rsidRPr="00D968C5">
                    <w:rPr>
                      <w:rFonts w:ascii="Arial" w:hAnsi="Arial" w:cs="Arial"/>
                      <w:sz w:val="20"/>
                      <w:szCs w:val="20"/>
                    </w:rPr>
                    <w:t> </w:t>
                  </w:r>
                  <w:r w:rsidRPr="00D968C5">
                    <w:rPr>
                      <w:rFonts w:ascii="Arial" w:hAnsi="Arial" w:cs="Arial"/>
                      <w:b/>
                      <w:bCs/>
                      <w:sz w:val="20"/>
                      <w:szCs w:val="20"/>
                    </w:rPr>
                    <w:t>·</w:t>
                  </w:r>
                  <w:hyperlink r:id="rId78" w:tooltip="Mortgage-backed security" w:history="1">
                    <w:r w:rsidRPr="00D968C5">
                      <w:rPr>
                        <w:rStyle w:val="Hyperlink"/>
                        <w:rFonts w:ascii="Arial" w:eastAsiaTheme="majorEastAsia" w:hAnsi="Arial" w:cs="Arial"/>
                        <w:color w:val="0645AD"/>
                        <w:sz w:val="20"/>
                        <w:szCs w:val="20"/>
                      </w:rPr>
                      <w:t>Mortgage-backed security</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79" w:tooltip="Z-spread" w:history="1">
                    <w:r w:rsidRPr="00D968C5">
                      <w:rPr>
                        <w:rStyle w:val="Hyperlink"/>
                        <w:rFonts w:ascii="Arial" w:eastAsiaTheme="majorEastAsia" w:hAnsi="Arial" w:cs="Arial"/>
                        <w:color w:val="0645AD"/>
                        <w:sz w:val="20"/>
                        <w:szCs w:val="20"/>
                      </w:rPr>
                      <w:t>Yield-curve spread</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hyperlink r:id="rId80" w:tooltip="Bond option" w:history="1">
                    <w:r w:rsidRPr="00D968C5">
                      <w:rPr>
                        <w:rStyle w:val="Hyperlink"/>
                        <w:rFonts w:ascii="Arial" w:eastAsiaTheme="majorEastAsia" w:hAnsi="Arial" w:cs="Arial"/>
                        <w:b/>
                        <w:bCs/>
                        <w:color w:val="0645AD"/>
                        <w:sz w:val="20"/>
                        <w:szCs w:val="20"/>
                      </w:rPr>
                      <w:t>Bond options</w:t>
                    </w:r>
                  </w:hyperlink>
                </w:p>
              </w:tc>
              <w:tc>
                <w:tcPr>
                  <w:tcW w:w="7740" w:type="dxa"/>
                  <w:tcBorders>
                    <w:top w:val="nil"/>
                    <w:left w:val="single" w:sz="12" w:space="0" w:color="FDFDFD"/>
                    <w:bottom w:val="nil"/>
                    <w:right w:val="nil"/>
                  </w:tcBorders>
                  <w:shd w:val="clear" w:color="auto" w:fill="F7F7F7"/>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81" w:tooltip="Callable bond" w:history="1">
                    <w:r w:rsidRPr="00D968C5">
                      <w:rPr>
                        <w:rStyle w:val="Hyperlink"/>
                        <w:rFonts w:ascii="Arial" w:eastAsiaTheme="majorEastAsia" w:hAnsi="Arial" w:cs="Arial"/>
                        <w:color w:val="0645AD"/>
                        <w:sz w:val="20"/>
                        <w:szCs w:val="20"/>
                      </w:rPr>
                      <w:t>Callable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2" w:tooltip="Convertible bond" w:history="1">
                    <w:r w:rsidRPr="00D968C5">
                      <w:rPr>
                        <w:rStyle w:val="Hyperlink"/>
                        <w:rFonts w:ascii="Arial" w:eastAsiaTheme="majorEastAsia" w:hAnsi="Arial" w:cs="Arial"/>
                        <w:color w:val="0645AD"/>
                        <w:sz w:val="20"/>
                        <w:szCs w:val="20"/>
                      </w:rPr>
                      <w:t>Convertible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3" w:tooltip="Embedded option" w:history="1">
                    <w:r w:rsidRPr="00D968C5">
                      <w:rPr>
                        <w:rStyle w:val="Hyperlink"/>
                        <w:rFonts w:ascii="Arial" w:eastAsiaTheme="majorEastAsia" w:hAnsi="Arial" w:cs="Arial"/>
                        <w:color w:val="0645AD"/>
                        <w:sz w:val="20"/>
                        <w:szCs w:val="20"/>
                      </w:rPr>
                      <w:t>Embedded option</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4" w:tooltip="Exchangeable bond" w:history="1">
                    <w:r w:rsidRPr="00D968C5">
                      <w:rPr>
                        <w:rStyle w:val="Hyperlink"/>
                        <w:rFonts w:ascii="Arial" w:eastAsiaTheme="majorEastAsia" w:hAnsi="Arial" w:cs="Arial"/>
                        <w:color w:val="0645AD"/>
                        <w:sz w:val="20"/>
                        <w:szCs w:val="20"/>
                      </w:rPr>
                      <w:t>Exchangeable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5" w:tooltip="Extendible bond" w:history="1">
                    <w:r w:rsidRPr="00D968C5">
                      <w:rPr>
                        <w:rStyle w:val="Hyperlink"/>
                        <w:rFonts w:ascii="Arial" w:eastAsiaTheme="majorEastAsia" w:hAnsi="Arial" w:cs="Arial"/>
                        <w:color w:val="0645AD"/>
                        <w:sz w:val="20"/>
                        <w:szCs w:val="20"/>
                      </w:rPr>
                      <w:t>Extendible bond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6" w:tooltip="Option-adjusted spread" w:history="1">
                    <w:r w:rsidRPr="00D968C5">
                      <w:rPr>
                        <w:rStyle w:val="Hyperlink"/>
                        <w:rFonts w:ascii="Arial" w:eastAsiaTheme="majorEastAsia" w:hAnsi="Arial" w:cs="Arial"/>
                        <w:color w:val="0645AD"/>
                        <w:sz w:val="20"/>
                        <w:szCs w:val="20"/>
                      </w:rPr>
                      <w:t>Option-adjusted spread</w:t>
                    </w:r>
                  </w:hyperlink>
                  <w:r w:rsidRPr="00D968C5">
                    <w:rPr>
                      <w:rFonts w:ascii="Arial" w:hAnsi="Arial" w:cs="Arial"/>
                      <w:sz w:val="20"/>
                      <w:szCs w:val="20"/>
                    </w:rPr>
                    <w:t>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7" w:tooltip="Puttable bond" w:history="1">
                    <w:proofErr w:type="spellStart"/>
                    <w:r w:rsidRPr="00D968C5">
                      <w:rPr>
                        <w:rStyle w:val="Hyperlink"/>
                        <w:rFonts w:ascii="Arial" w:eastAsiaTheme="majorEastAsia" w:hAnsi="Arial" w:cs="Arial"/>
                        <w:color w:val="0645AD"/>
                        <w:sz w:val="20"/>
                        <w:szCs w:val="20"/>
                      </w:rPr>
                      <w:t>Puttable</w:t>
                    </w:r>
                    <w:proofErr w:type="spellEnd"/>
                    <w:r w:rsidRPr="00D968C5">
                      <w:rPr>
                        <w:rStyle w:val="Hyperlink"/>
                        <w:rFonts w:ascii="Arial" w:eastAsiaTheme="majorEastAsia" w:hAnsi="Arial" w:cs="Arial"/>
                        <w:color w:val="0645AD"/>
                        <w:sz w:val="20"/>
                        <w:szCs w:val="20"/>
                      </w:rPr>
                      <w:t xml:space="preserve"> bond</w:t>
                    </w:r>
                  </w:hyperlink>
                </w:p>
              </w:tc>
            </w:tr>
            <w:tr w:rsidR="001D63E3" w:rsidRPr="00D968C5" w:rsidTr="001D63E3">
              <w:trPr>
                <w:trHeight w:val="30"/>
                <w:tblCellSpacing w:w="0" w:type="dxa"/>
              </w:trPr>
              <w:tc>
                <w:tcPr>
                  <w:tcW w:w="1440" w:type="dxa"/>
                  <w:shd w:val="clear" w:color="auto" w:fill="auto"/>
                  <w:vAlign w:val="center"/>
                  <w:hideMark/>
                </w:tcPr>
                <w:p w:rsidR="001D63E3" w:rsidRPr="00D968C5" w:rsidRDefault="001D63E3">
                  <w:pPr>
                    <w:rPr>
                      <w:rFonts w:ascii="Arial" w:hAnsi="Arial" w:cs="Arial"/>
                      <w:sz w:val="20"/>
                      <w:szCs w:val="20"/>
                    </w:rPr>
                  </w:pPr>
                </w:p>
              </w:tc>
              <w:tc>
                <w:tcPr>
                  <w:tcW w:w="7740" w:type="dxa"/>
                  <w:shd w:val="clear" w:color="auto" w:fill="auto"/>
                  <w:vAlign w:val="center"/>
                  <w:hideMark/>
                </w:tcPr>
                <w:p w:rsidR="001D63E3" w:rsidRPr="00D968C5" w:rsidRDefault="001D63E3">
                  <w:pPr>
                    <w:rPr>
                      <w:rFonts w:ascii="Arial" w:hAnsi="Arial" w:cs="Arial"/>
                      <w:sz w:val="20"/>
                      <w:szCs w:val="20"/>
                    </w:rPr>
                  </w:pPr>
                </w:p>
              </w:tc>
            </w:tr>
            <w:tr w:rsidR="001D63E3" w:rsidRPr="00D968C5" w:rsidTr="001D63E3">
              <w:trPr>
                <w:tblCellSpacing w:w="0" w:type="dxa"/>
              </w:trPr>
              <w:tc>
                <w:tcPr>
                  <w:tcW w:w="1440" w:type="dxa"/>
                  <w:shd w:val="clear" w:color="auto" w:fill="DDDDFF"/>
                  <w:noWrap/>
                  <w:tcMar>
                    <w:top w:w="15" w:type="dxa"/>
                    <w:left w:w="240" w:type="dxa"/>
                    <w:bottom w:w="15" w:type="dxa"/>
                    <w:right w:w="240" w:type="dxa"/>
                  </w:tcMar>
                  <w:vAlign w:val="center"/>
                  <w:hideMark/>
                </w:tcPr>
                <w:p w:rsidR="001D63E3" w:rsidRPr="00D968C5" w:rsidRDefault="001D63E3">
                  <w:pPr>
                    <w:jc w:val="right"/>
                    <w:rPr>
                      <w:rFonts w:ascii="Arial" w:hAnsi="Arial" w:cs="Arial"/>
                      <w:b/>
                      <w:bCs/>
                      <w:sz w:val="20"/>
                      <w:szCs w:val="20"/>
                    </w:rPr>
                  </w:pPr>
                  <w:r w:rsidRPr="00D968C5">
                    <w:rPr>
                      <w:rFonts w:ascii="Arial" w:hAnsi="Arial" w:cs="Arial"/>
                      <w:b/>
                      <w:bCs/>
                      <w:sz w:val="20"/>
                      <w:szCs w:val="20"/>
                    </w:rPr>
                    <w:lastRenderedPageBreak/>
                    <w:t>Institutions</w:t>
                  </w:r>
                </w:p>
              </w:tc>
              <w:tc>
                <w:tcPr>
                  <w:tcW w:w="7740" w:type="dxa"/>
                  <w:tcBorders>
                    <w:top w:val="nil"/>
                    <w:left w:val="single" w:sz="12" w:space="0" w:color="FDFDFD"/>
                    <w:bottom w:val="nil"/>
                    <w:right w:val="nil"/>
                  </w:tcBorders>
                  <w:shd w:val="clear" w:color="auto" w:fill="auto"/>
                  <w:tcMar>
                    <w:top w:w="0" w:type="dxa"/>
                    <w:left w:w="0" w:type="dxa"/>
                    <w:bottom w:w="0" w:type="dxa"/>
                    <w:right w:w="0" w:type="dxa"/>
                  </w:tcMar>
                  <w:vAlign w:val="center"/>
                  <w:hideMark/>
                </w:tcPr>
                <w:p w:rsidR="001D63E3" w:rsidRPr="00D968C5" w:rsidRDefault="001D63E3" w:rsidP="001D63E3">
                  <w:pPr>
                    <w:rPr>
                      <w:rFonts w:ascii="Arial" w:hAnsi="Arial" w:cs="Arial"/>
                      <w:sz w:val="20"/>
                      <w:szCs w:val="20"/>
                    </w:rPr>
                  </w:pPr>
                  <w:hyperlink r:id="rId88" w:tooltip="Commercial Mortgage Securities Association" w:history="1">
                    <w:r w:rsidRPr="00D968C5">
                      <w:rPr>
                        <w:rStyle w:val="Hyperlink"/>
                        <w:rFonts w:ascii="Arial" w:eastAsiaTheme="majorEastAsia" w:hAnsi="Arial" w:cs="Arial"/>
                        <w:color w:val="0645AD"/>
                        <w:sz w:val="20"/>
                        <w:szCs w:val="20"/>
                      </w:rPr>
                      <w:t>Commercial Mortgage Securities Association</w:t>
                    </w:r>
                  </w:hyperlink>
                  <w:r w:rsidRPr="00D968C5">
                    <w:rPr>
                      <w:rStyle w:val="apple-converted-space"/>
                      <w:rFonts w:ascii="Arial" w:eastAsiaTheme="majorEastAsia" w:hAnsi="Arial" w:cs="Arial"/>
                      <w:sz w:val="20"/>
                      <w:szCs w:val="20"/>
                    </w:rPr>
                    <w:t> </w:t>
                  </w:r>
                  <w:r w:rsidRPr="00D968C5">
                    <w:rPr>
                      <w:rFonts w:ascii="Arial" w:hAnsi="Arial" w:cs="Arial"/>
                      <w:sz w:val="20"/>
                      <w:szCs w:val="20"/>
                    </w:rPr>
                    <w:t>(CMSA) </w:t>
                  </w:r>
                  <w:r w:rsidRPr="00D968C5">
                    <w:rPr>
                      <w:rFonts w:ascii="Arial" w:hAnsi="Arial" w:cs="Arial"/>
                      <w:b/>
                      <w:bCs/>
                      <w:sz w:val="20"/>
                      <w:szCs w:val="20"/>
                    </w:rPr>
                    <w:t>·</w:t>
                  </w:r>
                  <w:r w:rsidRPr="00D968C5">
                    <w:rPr>
                      <w:rStyle w:val="apple-converted-space"/>
                      <w:rFonts w:ascii="Arial" w:eastAsiaTheme="majorEastAsia" w:hAnsi="Arial" w:cs="Arial"/>
                      <w:sz w:val="20"/>
                      <w:szCs w:val="20"/>
                    </w:rPr>
                    <w:t> </w:t>
                  </w:r>
                  <w:hyperlink r:id="rId89" w:tooltip="ICMA" w:history="1">
                    <w:r w:rsidRPr="00D968C5">
                      <w:rPr>
                        <w:rStyle w:val="Hyperlink"/>
                        <w:rFonts w:ascii="Arial" w:eastAsiaTheme="majorEastAsia" w:hAnsi="Arial" w:cs="Arial"/>
                        <w:color w:val="0645AD"/>
                        <w:sz w:val="20"/>
                        <w:szCs w:val="20"/>
                      </w:rPr>
                      <w:t>International Capital Market Association</w:t>
                    </w:r>
                  </w:hyperlink>
                  <w:r w:rsidRPr="00D968C5">
                    <w:rPr>
                      <w:rStyle w:val="apple-converted-space"/>
                      <w:rFonts w:ascii="Arial" w:eastAsiaTheme="majorEastAsia" w:hAnsi="Arial" w:cs="Arial"/>
                      <w:sz w:val="20"/>
                      <w:szCs w:val="20"/>
                    </w:rPr>
                    <w:t> </w:t>
                  </w:r>
                  <w:r w:rsidRPr="00D968C5">
                    <w:rPr>
                      <w:rFonts w:ascii="Arial" w:hAnsi="Arial" w:cs="Arial"/>
                      <w:sz w:val="20"/>
                      <w:szCs w:val="20"/>
                    </w:rPr>
                    <w:t>(ICMA) </w:t>
                  </w:r>
                  <w:r w:rsidRPr="00D968C5">
                    <w:rPr>
                      <w:rFonts w:ascii="Arial" w:hAnsi="Arial" w:cs="Arial"/>
                      <w:b/>
                      <w:bCs/>
                      <w:sz w:val="20"/>
                      <w:szCs w:val="20"/>
                    </w:rPr>
                    <w:t>·</w:t>
                  </w:r>
                  <w:hyperlink r:id="rId90" w:tooltip="SIFMA" w:history="1">
                    <w:r w:rsidRPr="00D968C5">
                      <w:rPr>
                        <w:rStyle w:val="Hyperlink"/>
                        <w:rFonts w:ascii="Arial" w:eastAsiaTheme="majorEastAsia" w:hAnsi="Arial" w:cs="Arial"/>
                        <w:color w:val="0645AD"/>
                        <w:sz w:val="20"/>
                        <w:szCs w:val="20"/>
                      </w:rPr>
                      <w:t>Securities Industry and Financial Markets Association</w:t>
                    </w:r>
                  </w:hyperlink>
                  <w:r w:rsidRPr="00D968C5">
                    <w:rPr>
                      <w:rStyle w:val="apple-converted-space"/>
                      <w:rFonts w:ascii="Arial" w:eastAsiaTheme="majorEastAsia" w:hAnsi="Arial" w:cs="Arial"/>
                      <w:sz w:val="20"/>
                      <w:szCs w:val="20"/>
                    </w:rPr>
                    <w:t> </w:t>
                  </w:r>
                  <w:r w:rsidRPr="00D968C5">
                    <w:rPr>
                      <w:rFonts w:ascii="Arial" w:hAnsi="Arial" w:cs="Arial"/>
                      <w:sz w:val="20"/>
                      <w:szCs w:val="20"/>
                    </w:rPr>
                    <w:t>(SIFMA)</w:t>
                  </w:r>
                </w:p>
              </w:tc>
            </w:tr>
          </w:tbl>
          <w:p w:rsidR="001D63E3" w:rsidRPr="00D968C5" w:rsidRDefault="001D63E3">
            <w:pPr>
              <w:spacing w:before="100" w:beforeAutospacing="1" w:after="100" w:afterAutospacing="1"/>
              <w:jc w:val="center"/>
              <w:rPr>
                <w:rFonts w:ascii="Arial" w:hAnsi="Arial" w:cs="Arial"/>
                <w:sz w:val="20"/>
                <w:szCs w:val="20"/>
              </w:rPr>
            </w:pPr>
          </w:p>
        </w:tc>
      </w:tr>
    </w:tbl>
    <w:p w:rsidR="001D63E3" w:rsidRPr="00D968C5" w:rsidRDefault="001D63E3">
      <w:pPr>
        <w:pBdr>
          <w:bottom w:val="double" w:sz="6" w:space="1" w:color="auto"/>
        </w:pBdr>
        <w:rPr>
          <w:rFonts w:ascii="Arial" w:hAnsi="Arial" w:cs="Arial"/>
          <w:sz w:val="20"/>
          <w:szCs w:val="20"/>
        </w:rPr>
      </w:pPr>
    </w:p>
    <w:p w:rsidR="00D968C5" w:rsidRPr="00D968C5" w:rsidRDefault="00D968C5">
      <w:pPr>
        <w:rPr>
          <w:rFonts w:ascii="Arial" w:hAnsi="Arial" w:cs="Arial"/>
          <w:sz w:val="20"/>
          <w:szCs w:val="20"/>
        </w:rPr>
      </w:pPr>
    </w:p>
    <w:p w:rsidR="00D968C5" w:rsidRPr="00D968C5" w:rsidRDefault="00D968C5" w:rsidP="00D968C5">
      <w:pPr>
        <w:pStyle w:val="Heading1"/>
        <w:pBdr>
          <w:bottom w:val="single" w:sz="6" w:space="0" w:color="AAAAAA"/>
        </w:pBdr>
        <w:spacing w:before="0" w:after="24" w:line="288" w:lineRule="atLeast"/>
        <w:rPr>
          <w:rFonts w:ascii="Arial" w:hAnsi="Arial" w:cs="Arial"/>
          <w:b w:val="0"/>
          <w:bCs w:val="0"/>
          <w:color w:val="000000"/>
          <w:sz w:val="20"/>
          <w:szCs w:val="20"/>
          <w:shd w:val="clear" w:color="auto" w:fill="FFFFFF"/>
        </w:rPr>
      </w:pPr>
      <w:r w:rsidRPr="00D968C5">
        <w:rPr>
          <w:rFonts w:ascii="Arial" w:hAnsi="Arial" w:cs="Arial"/>
          <w:b w:val="0"/>
          <w:bCs w:val="0"/>
          <w:color w:val="000000"/>
          <w:sz w:val="20"/>
          <w:szCs w:val="20"/>
          <w:shd w:val="clear" w:color="auto" w:fill="FFFFFF"/>
        </w:rPr>
        <w:t>Repurchase agreement</w:t>
      </w:r>
    </w:p>
    <w:p w:rsidR="00D968C5" w:rsidRPr="00D968C5" w:rsidRDefault="00D968C5" w:rsidP="00D968C5">
      <w:pPr>
        <w:spacing w:line="360" w:lineRule="atLeast"/>
        <w:rPr>
          <w:rFonts w:ascii="Arial" w:hAnsi="Arial" w:cs="Arial"/>
          <w:color w:val="000000"/>
          <w:sz w:val="20"/>
          <w:szCs w:val="20"/>
          <w:shd w:val="clear" w:color="auto" w:fill="FFFFFF"/>
        </w:rPr>
      </w:pPr>
      <w:r w:rsidRPr="00D968C5">
        <w:rPr>
          <w:rFonts w:ascii="Arial" w:hAnsi="Arial" w:cs="Arial"/>
          <w:color w:val="000000"/>
          <w:sz w:val="20"/>
          <w:szCs w:val="20"/>
          <w:shd w:val="clear" w:color="auto" w:fill="FFFFFF"/>
        </w:rPr>
        <w:t>From Wikipedia, the free encyclopedia</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repurchase agreement</w:t>
      </w:r>
      <w:r w:rsidRPr="00D968C5">
        <w:rPr>
          <w:rFonts w:ascii="Arial" w:hAnsi="Arial" w:cs="Arial"/>
          <w:color w:val="000000"/>
          <w:sz w:val="20"/>
          <w:szCs w:val="20"/>
          <w:shd w:val="clear" w:color="auto" w:fill="FFFFFF"/>
          <w:lang/>
        </w:rPr>
        <w:t>, also known as 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repo</w:t>
      </w:r>
      <w:r w:rsidRPr="00D968C5">
        <w:rPr>
          <w:rFonts w:ascii="Arial" w:hAnsi="Arial" w:cs="Arial"/>
          <w:color w:val="000000"/>
          <w:sz w:val="20"/>
          <w:szCs w:val="20"/>
          <w:shd w:val="clear" w:color="auto" w:fill="FFFFFF"/>
          <w:lang/>
        </w:rPr>
        <w:t>,</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RP</w:t>
      </w:r>
      <w:r w:rsidRPr="00D968C5">
        <w:rPr>
          <w:rFonts w:ascii="Arial" w:hAnsi="Arial" w:cs="Arial"/>
          <w:color w:val="000000"/>
          <w:sz w:val="20"/>
          <w:szCs w:val="20"/>
          <w:shd w:val="clear" w:color="auto" w:fill="FFFFFF"/>
          <w:lang/>
        </w:rPr>
        <w:t>, or</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sale and repurchase agreement</w:t>
      </w:r>
      <w:r w:rsidRPr="00D968C5">
        <w:rPr>
          <w:rFonts w:ascii="Arial" w:hAnsi="Arial" w:cs="Arial"/>
          <w:color w:val="000000"/>
          <w:sz w:val="20"/>
          <w:szCs w:val="20"/>
          <w:shd w:val="clear" w:color="auto" w:fill="FFFFFF"/>
          <w:lang/>
        </w:rPr>
        <w:t>, is the sale of</w:t>
      </w:r>
      <w:r w:rsidRPr="00D968C5">
        <w:rPr>
          <w:rStyle w:val="apple-converted-space"/>
          <w:rFonts w:ascii="Arial" w:eastAsiaTheme="majorEastAsia" w:hAnsi="Arial" w:cs="Arial"/>
          <w:color w:val="000000"/>
          <w:sz w:val="20"/>
          <w:szCs w:val="20"/>
          <w:shd w:val="clear" w:color="auto" w:fill="FFFFFF"/>
          <w:lang/>
        </w:rPr>
        <w:t> </w:t>
      </w:r>
      <w:hyperlink r:id="rId91" w:tooltip="Security (finance)" w:history="1">
        <w:r w:rsidRPr="00D968C5">
          <w:rPr>
            <w:rStyle w:val="Hyperlink"/>
            <w:rFonts w:ascii="Arial" w:hAnsi="Arial" w:cs="Arial"/>
            <w:color w:val="0645AD"/>
            <w:sz w:val="20"/>
            <w:szCs w:val="20"/>
            <w:shd w:val="clear" w:color="auto" w:fill="FFFFFF"/>
            <w:lang/>
          </w:rPr>
          <w:t>securities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together with an agreement for the seller to buy back the securities at a later date. The repurchase price should be greater than the original sale price, the difference effectively representing interest, sometimes called the</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i/>
          <w:iCs/>
          <w:color w:val="000000"/>
          <w:sz w:val="20"/>
          <w:szCs w:val="20"/>
          <w:shd w:val="clear" w:color="auto" w:fill="FFFFFF"/>
          <w:lang/>
        </w:rPr>
        <w:t>repo rate</w:t>
      </w:r>
      <w:r w:rsidRPr="00D968C5">
        <w:rPr>
          <w:rFonts w:ascii="Arial" w:hAnsi="Arial" w:cs="Arial"/>
          <w:color w:val="000000"/>
          <w:sz w:val="20"/>
          <w:szCs w:val="20"/>
          <w:shd w:val="clear" w:color="auto" w:fill="FFFFFF"/>
          <w:lang/>
        </w:rPr>
        <w:t xml:space="preserve">. The party that originally buys the securities effectively acts as </w:t>
      </w:r>
      <w:proofErr w:type="spellStart"/>
      <w:r w:rsidRPr="00D968C5">
        <w:rPr>
          <w:rFonts w:ascii="Arial" w:hAnsi="Arial" w:cs="Arial"/>
          <w:color w:val="000000"/>
          <w:sz w:val="20"/>
          <w:szCs w:val="20"/>
          <w:shd w:val="clear" w:color="auto" w:fill="FFFFFF"/>
          <w:lang/>
        </w:rPr>
        <w:t>a</w:t>
      </w:r>
      <w:hyperlink r:id="rId92" w:tooltip="Lender" w:history="1">
        <w:r w:rsidRPr="00D968C5">
          <w:rPr>
            <w:rStyle w:val="Hyperlink"/>
            <w:rFonts w:ascii="Arial" w:hAnsi="Arial" w:cs="Arial"/>
            <w:color w:val="0645AD"/>
            <w:sz w:val="20"/>
            <w:szCs w:val="20"/>
            <w:shd w:val="clear" w:color="auto" w:fill="FFFFFF"/>
            <w:lang/>
          </w:rPr>
          <w:t>lender</w:t>
        </w:r>
        <w:proofErr w:type="spellEnd"/>
      </w:hyperlink>
      <w:r w:rsidRPr="00D968C5">
        <w:rPr>
          <w:rFonts w:ascii="Arial" w:hAnsi="Arial" w:cs="Arial"/>
          <w:color w:val="000000"/>
          <w:sz w:val="20"/>
          <w:szCs w:val="20"/>
          <w:shd w:val="clear" w:color="auto" w:fill="FFFFFF"/>
          <w:lang/>
        </w:rPr>
        <w:t>. The original seller is effectively acting as a</w:t>
      </w:r>
      <w:r w:rsidRPr="00D968C5">
        <w:rPr>
          <w:rStyle w:val="apple-converted-space"/>
          <w:rFonts w:ascii="Arial" w:eastAsiaTheme="majorEastAsia" w:hAnsi="Arial" w:cs="Arial"/>
          <w:color w:val="000000"/>
          <w:sz w:val="20"/>
          <w:szCs w:val="20"/>
          <w:shd w:val="clear" w:color="auto" w:fill="FFFFFF"/>
          <w:lang/>
        </w:rPr>
        <w:t> </w:t>
      </w:r>
      <w:hyperlink r:id="rId93" w:tooltip="Borrower" w:history="1">
        <w:r w:rsidRPr="00D968C5">
          <w:rPr>
            <w:rStyle w:val="Hyperlink"/>
            <w:rFonts w:ascii="Arial" w:hAnsi="Arial" w:cs="Arial"/>
            <w:color w:val="0645AD"/>
            <w:sz w:val="20"/>
            <w:szCs w:val="20"/>
            <w:shd w:val="clear" w:color="auto" w:fill="FFFFFF"/>
            <w:lang/>
          </w:rPr>
          <w:t>borrower</w:t>
        </w:r>
      </w:hyperlink>
      <w:r w:rsidRPr="00D968C5">
        <w:rPr>
          <w:rFonts w:ascii="Arial" w:hAnsi="Arial" w:cs="Arial"/>
          <w:color w:val="000000"/>
          <w:sz w:val="20"/>
          <w:szCs w:val="20"/>
          <w:shd w:val="clear" w:color="auto" w:fill="FFFFFF"/>
          <w:lang/>
        </w:rPr>
        <w:t>, using their security as</w:t>
      </w:r>
      <w:r w:rsidRPr="00D968C5">
        <w:rPr>
          <w:rStyle w:val="apple-converted-space"/>
          <w:rFonts w:ascii="Arial" w:eastAsiaTheme="majorEastAsia" w:hAnsi="Arial" w:cs="Arial"/>
          <w:color w:val="000000"/>
          <w:sz w:val="20"/>
          <w:szCs w:val="20"/>
          <w:shd w:val="clear" w:color="auto" w:fill="FFFFFF"/>
          <w:lang/>
        </w:rPr>
        <w:t> </w:t>
      </w:r>
      <w:hyperlink r:id="rId94" w:tooltip="Collateral (finance)" w:history="1">
        <w:r w:rsidRPr="00D968C5">
          <w:rPr>
            <w:rStyle w:val="Hyperlink"/>
            <w:rFonts w:ascii="Arial" w:hAnsi="Arial" w:cs="Arial"/>
            <w:color w:val="0645AD"/>
            <w:sz w:val="20"/>
            <w:szCs w:val="20"/>
            <w:shd w:val="clear" w:color="auto" w:fill="FFFFFF"/>
            <w:lang/>
          </w:rPr>
          <w:t>collateral</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for a secured cash</w:t>
      </w:r>
      <w:r w:rsidRPr="00D968C5">
        <w:rPr>
          <w:rStyle w:val="apple-converted-space"/>
          <w:rFonts w:ascii="Arial" w:eastAsiaTheme="majorEastAsia" w:hAnsi="Arial" w:cs="Arial"/>
          <w:color w:val="000000"/>
          <w:sz w:val="20"/>
          <w:szCs w:val="20"/>
          <w:shd w:val="clear" w:color="auto" w:fill="FFFFFF"/>
          <w:lang/>
        </w:rPr>
        <w:t> </w:t>
      </w:r>
      <w:hyperlink r:id="rId95" w:tooltip="Loan" w:history="1">
        <w:r w:rsidRPr="00D968C5">
          <w:rPr>
            <w:rStyle w:val="Hyperlink"/>
            <w:rFonts w:ascii="Arial" w:hAnsi="Arial" w:cs="Arial"/>
            <w:color w:val="0645AD"/>
            <w:sz w:val="20"/>
            <w:szCs w:val="20"/>
            <w:shd w:val="clear" w:color="auto" w:fill="FFFFFF"/>
            <w:lang/>
          </w:rPr>
          <w:t>loan</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at a fixed rate </w:t>
      </w:r>
      <w:proofErr w:type="spellStart"/>
      <w:r w:rsidRPr="00D968C5">
        <w:rPr>
          <w:rFonts w:ascii="Arial" w:hAnsi="Arial" w:cs="Arial"/>
          <w:color w:val="000000"/>
          <w:sz w:val="20"/>
          <w:szCs w:val="20"/>
          <w:shd w:val="clear" w:color="auto" w:fill="FFFFFF"/>
          <w:lang/>
        </w:rPr>
        <w:t>of</w:t>
      </w:r>
      <w:hyperlink r:id="rId96" w:tooltip="Interest" w:history="1">
        <w:r w:rsidRPr="00D968C5">
          <w:rPr>
            <w:rStyle w:val="Hyperlink"/>
            <w:rFonts w:ascii="Arial" w:hAnsi="Arial" w:cs="Arial"/>
            <w:color w:val="0645AD"/>
            <w:sz w:val="20"/>
            <w:szCs w:val="20"/>
            <w:shd w:val="clear" w:color="auto" w:fill="FFFFFF"/>
            <w:lang/>
          </w:rPr>
          <w:t>interest</w:t>
        </w:r>
        <w:proofErr w:type="spellEnd"/>
      </w:hyperlink>
      <w:r w:rsidRPr="00D968C5">
        <w:rPr>
          <w:rFonts w:ascii="Arial" w:hAnsi="Arial" w:cs="Arial"/>
          <w:color w:val="000000"/>
          <w:sz w:val="20"/>
          <w:szCs w:val="20"/>
          <w:shd w:val="clear" w:color="auto" w:fill="FFFFFF"/>
          <w:lang/>
        </w:rPr>
        <w:t>.</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 repo is equivalent to a cash transaction combined with a</w:t>
      </w:r>
      <w:r w:rsidRPr="00D968C5">
        <w:rPr>
          <w:rStyle w:val="apple-converted-space"/>
          <w:rFonts w:ascii="Arial" w:eastAsiaTheme="majorEastAsia" w:hAnsi="Arial" w:cs="Arial"/>
          <w:color w:val="000000"/>
          <w:sz w:val="20"/>
          <w:szCs w:val="20"/>
          <w:shd w:val="clear" w:color="auto" w:fill="FFFFFF"/>
          <w:lang/>
        </w:rPr>
        <w:t> </w:t>
      </w:r>
      <w:hyperlink r:id="rId97" w:tooltip="Forward contract" w:history="1">
        <w:r w:rsidRPr="00D968C5">
          <w:rPr>
            <w:rStyle w:val="Hyperlink"/>
            <w:rFonts w:ascii="Arial" w:hAnsi="Arial" w:cs="Arial"/>
            <w:color w:val="0645AD"/>
            <w:sz w:val="20"/>
            <w:szCs w:val="20"/>
            <w:shd w:val="clear" w:color="auto" w:fill="FFFFFF"/>
            <w:lang/>
          </w:rPr>
          <w:t>forward contract</w:t>
        </w:r>
      </w:hyperlink>
      <w:r w:rsidRPr="00D968C5">
        <w:rPr>
          <w:rFonts w:ascii="Arial" w:hAnsi="Arial" w:cs="Arial"/>
          <w:color w:val="000000"/>
          <w:sz w:val="20"/>
          <w:szCs w:val="20"/>
          <w:shd w:val="clear" w:color="auto" w:fill="FFFFFF"/>
          <w:lang/>
        </w:rPr>
        <w:t>. The cash transaction results in transfer of money to the borrower in exchange for legal transfer of the security to the lender, while the forward contract ensures repayment of the loan to the lender and return of the collateral of the borrower. The difference between the</w:t>
      </w:r>
      <w:r w:rsidRPr="00D968C5">
        <w:rPr>
          <w:rStyle w:val="apple-converted-space"/>
          <w:rFonts w:ascii="Arial" w:eastAsiaTheme="majorEastAsia" w:hAnsi="Arial" w:cs="Arial"/>
          <w:color w:val="000000"/>
          <w:sz w:val="20"/>
          <w:szCs w:val="20"/>
          <w:shd w:val="clear" w:color="auto" w:fill="FFFFFF"/>
          <w:lang/>
        </w:rPr>
        <w:t> </w:t>
      </w:r>
      <w:hyperlink r:id="rId98" w:tooltip="Forward price" w:history="1">
        <w:r w:rsidRPr="00D968C5">
          <w:rPr>
            <w:rStyle w:val="Hyperlink"/>
            <w:rFonts w:ascii="Arial" w:hAnsi="Arial" w:cs="Arial"/>
            <w:color w:val="0645AD"/>
            <w:sz w:val="20"/>
            <w:szCs w:val="20"/>
            <w:shd w:val="clear" w:color="auto" w:fill="FFFFFF"/>
            <w:lang/>
          </w:rPr>
          <w:t>forward price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and the</w:t>
      </w:r>
      <w:r w:rsidRPr="00D968C5">
        <w:rPr>
          <w:rStyle w:val="apple-converted-space"/>
          <w:rFonts w:ascii="Arial" w:eastAsiaTheme="majorEastAsia" w:hAnsi="Arial" w:cs="Arial"/>
          <w:color w:val="000000"/>
          <w:sz w:val="20"/>
          <w:szCs w:val="20"/>
          <w:shd w:val="clear" w:color="auto" w:fill="FFFFFF"/>
          <w:lang/>
        </w:rPr>
        <w:t> </w:t>
      </w:r>
      <w:hyperlink r:id="rId99" w:tooltip="Spot price" w:history="1">
        <w:r w:rsidRPr="00D968C5">
          <w:rPr>
            <w:rStyle w:val="Hyperlink"/>
            <w:rFonts w:ascii="Arial" w:hAnsi="Arial" w:cs="Arial"/>
            <w:color w:val="0645AD"/>
            <w:sz w:val="20"/>
            <w:szCs w:val="20"/>
            <w:shd w:val="clear" w:color="auto" w:fill="FFFFFF"/>
            <w:lang/>
          </w:rPr>
          <w:t>spot price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is effectively the interest on the loan while one of </w:t>
      </w:r>
      <w:proofErr w:type="spellStart"/>
      <w:r w:rsidRPr="00D968C5">
        <w:rPr>
          <w:rFonts w:ascii="Arial" w:hAnsi="Arial" w:cs="Arial"/>
          <w:color w:val="000000"/>
          <w:sz w:val="20"/>
          <w:szCs w:val="20"/>
          <w:shd w:val="clear" w:color="auto" w:fill="FFFFFF"/>
          <w:lang/>
        </w:rPr>
        <w:t>the</w:t>
      </w:r>
      <w:hyperlink r:id="rId100" w:tooltip="Settlement date" w:history="1">
        <w:r w:rsidRPr="00D968C5">
          <w:rPr>
            <w:rStyle w:val="Hyperlink"/>
            <w:rFonts w:ascii="Arial" w:hAnsi="Arial" w:cs="Arial"/>
            <w:color w:val="0645AD"/>
            <w:sz w:val="20"/>
            <w:szCs w:val="20"/>
            <w:shd w:val="clear" w:color="auto" w:fill="FFFFFF"/>
            <w:lang/>
          </w:rPr>
          <w:t>settlement</w:t>
        </w:r>
        <w:proofErr w:type="spellEnd"/>
        <w:r w:rsidRPr="00D968C5">
          <w:rPr>
            <w:rStyle w:val="Hyperlink"/>
            <w:rFonts w:ascii="Arial" w:hAnsi="Arial" w:cs="Arial"/>
            <w:color w:val="0645AD"/>
            <w:sz w:val="20"/>
            <w:szCs w:val="20"/>
            <w:shd w:val="clear" w:color="auto" w:fill="FFFFFF"/>
            <w:lang/>
          </w:rPr>
          <w:t xml:space="preserve"> date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of the forward contract is the</w:t>
      </w:r>
      <w:r w:rsidRPr="00D968C5">
        <w:rPr>
          <w:rStyle w:val="apple-converted-space"/>
          <w:rFonts w:ascii="Arial" w:eastAsiaTheme="majorEastAsia" w:hAnsi="Arial" w:cs="Arial"/>
          <w:color w:val="000000"/>
          <w:sz w:val="20"/>
          <w:szCs w:val="20"/>
          <w:shd w:val="clear" w:color="auto" w:fill="FFFFFF"/>
          <w:lang/>
        </w:rPr>
        <w:t> </w:t>
      </w:r>
      <w:hyperlink r:id="rId101" w:tooltip="Maturity (finance)" w:history="1">
        <w:r w:rsidRPr="00D968C5">
          <w:rPr>
            <w:rStyle w:val="Hyperlink"/>
            <w:rFonts w:ascii="Arial" w:hAnsi="Arial" w:cs="Arial"/>
            <w:color w:val="0645AD"/>
            <w:sz w:val="20"/>
            <w:szCs w:val="20"/>
            <w:shd w:val="clear" w:color="auto" w:fill="FFFFFF"/>
            <w:lang/>
          </w:rPr>
          <w:t>maturity</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date of the loan.</w:t>
      </w:r>
    </w:p>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Structure and terminology</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 repo is economically similar to a</w:t>
      </w:r>
      <w:r w:rsidRPr="00D968C5">
        <w:rPr>
          <w:rStyle w:val="apple-converted-space"/>
          <w:rFonts w:ascii="Arial" w:eastAsiaTheme="majorEastAsia" w:hAnsi="Arial" w:cs="Arial"/>
          <w:color w:val="000000"/>
          <w:sz w:val="20"/>
          <w:szCs w:val="20"/>
          <w:shd w:val="clear" w:color="auto" w:fill="FFFFFF"/>
          <w:lang/>
        </w:rPr>
        <w:t> </w:t>
      </w:r>
      <w:hyperlink r:id="rId102" w:tooltip="Secured loan" w:history="1">
        <w:r w:rsidRPr="00D968C5">
          <w:rPr>
            <w:rStyle w:val="Hyperlink"/>
            <w:rFonts w:ascii="Arial" w:hAnsi="Arial" w:cs="Arial"/>
            <w:color w:val="0645AD"/>
            <w:sz w:val="20"/>
            <w:szCs w:val="20"/>
            <w:shd w:val="clear" w:color="auto" w:fill="FFFFFF"/>
            <w:lang/>
          </w:rPr>
          <w:t>secured loan</w:t>
        </w:r>
      </w:hyperlink>
      <w:r w:rsidRPr="00D968C5">
        <w:rPr>
          <w:rFonts w:ascii="Arial" w:hAnsi="Arial" w:cs="Arial"/>
          <w:color w:val="000000"/>
          <w:sz w:val="20"/>
          <w:szCs w:val="20"/>
          <w:shd w:val="clear" w:color="auto" w:fill="FFFFFF"/>
          <w:lang/>
        </w:rPr>
        <w:t>, with the buyer (effectively the lender or investor) receiving securities as</w:t>
      </w:r>
      <w:r w:rsidRPr="00D968C5">
        <w:rPr>
          <w:rStyle w:val="apple-converted-space"/>
          <w:rFonts w:ascii="Arial" w:eastAsiaTheme="majorEastAsia" w:hAnsi="Arial" w:cs="Arial"/>
          <w:color w:val="000000"/>
          <w:sz w:val="20"/>
          <w:szCs w:val="20"/>
          <w:shd w:val="clear" w:color="auto" w:fill="FFFFFF"/>
          <w:lang/>
        </w:rPr>
        <w:t> </w:t>
      </w:r>
      <w:hyperlink r:id="rId103" w:tooltip="Collateral (finance)" w:history="1">
        <w:r w:rsidRPr="00D968C5">
          <w:rPr>
            <w:rStyle w:val="Hyperlink"/>
            <w:rFonts w:ascii="Arial" w:hAnsi="Arial" w:cs="Arial"/>
            <w:color w:val="0645AD"/>
            <w:sz w:val="20"/>
            <w:szCs w:val="20"/>
            <w:shd w:val="clear" w:color="auto" w:fill="FFFFFF"/>
            <w:lang/>
          </w:rPr>
          <w:t>collateral</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to protect him against default by the seller. The party who initially sells the securities is effectively the borrower. Almost any security may be employed in a repo, though highly liquid securities are preferred as they are more easily disposed of in the event of a default and, more importantly, they can be easily obtained in the open market where the buyer has created a short position in the repo security by a reverse repo and market sale; by the same token, non liquid securities are discouraged. Treasury or Government bills, corporate and Treasury/Government bonds, and stocks may all be used as "collateral" in a repo transaction. Unlike a secured loan, however, legal title to the securities passes from the seller to the buyer.</w:t>
      </w:r>
      <w:r w:rsidRPr="00D968C5">
        <w:rPr>
          <w:rStyle w:val="apple-converted-space"/>
          <w:rFonts w:ascii="Arial" w:eastAsiaTheme="majorEastAsia" w:hAnsi="Arial" w:cs="Arial"/>
          <w:color w:val="000000"/>
          <w:sz w:val="20"/>
          <w:szCs w:val="20"/>
          <w:shd w:val="clear" w:color="auto" w:fill="FFFFFF"/>
          <w:lang/>
        </w:rPr>
        <w:t> </w:t>
      </w:r>
      <w:hyperlink r:id="rId104" w:tooltip="Coupon (bond)" w:history="1">
        <w:r w:rsidRPr="00D968C5">
          <w:rPr>
            <w:rStyle w:val="Hyperlink"/>
            <w:rFonts w:ascii="Arial" w:hAnsi="Arial" w:cs="Arial"/>
            <w:color w:val="0645AD"/>
            <w:sz w:val="20"/>
            <w:szCs w:val="20"/>
            <w:shd w:val="clear" w:color="auto" w:fill="FFFFFF"/>
            <w:lang/>
          </w:rPr>
          <w:t>Coupons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(interest payable to the owner of the securities) falling due while the repo buyer owns the securities are, in fact, usually passed directly onto the repo seller. This might seem counterintuitive, as the legal ownership of the collateral rests with the buyer during the repo agreement. The agreement might instead provide that the buyer receives the coupon, with the cash payable on repurchase being adjusted to compensate, though this is more typical of sell/buybacks.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 xml:space="preserve">Although the transaction is similar to a loan, and its economic effect is similar to a loan, the terminology differs from that applying to loans: the seller legally repurchases the securities from the buyer at the end of the loan term. </w:t>
      </w:r>
      <w:proofErr w:type="gramStart"/>
      <w:r w:rsidRPr="00D968C5">
        <w:rPr>
          <w:rFonts w:ascii="Arial" w:hAnsi="Arial" w:cs="Arial"/>
          <w:color w:val="000000"/>
          <w:sz w:val="20"/>
          <w:szCs w:val="20"/>
          <w:shd w:val="clear" w:color="auto" w:fill="FFFFFF"/>
          <w:lang/>
        </w:rPr>
        <w:t xml:space="preserve">However a key aspect of repos is that they are legally </w:t>
      </w:r>
      <w:proofErr w:type="spellStart"/>
      <w:r w:rsidRPr="00D968C5">
        <w:rPr>
          <w:rFonts w:ascii="Arial" w:hAnsi="Arial" w:cs="Arial"/>
          <w:color w:val="000000"/>
          <w:sz w:val="20"/>
          <w:szCs w:val="20"/>
          <w:shd w:val="clear" w:color="auto" w:fill="FFFFFF"/>
          <w:lang/>
        </w:rPr>
        <w:t>recognised</w:t>
      </w:r>
      <w:proofErr w:type="spellEnd"/>
      <w:r w:rsidRPr="00D968C5">
        <w:rPr>
          <w:rFonts w:ascii="Arial" w:hAnsi="Arial" w:cs="Arial"/>
          <w:color w:val="000000"/>
          <w:sz w:val="20"/>
          <w:szCs w:val="20"/>
          <w:shd w:val="clear" w:color="auto" w:fill="FFFFFF"/>
          <w:lang/>
        </w:rPr>
        <w:t xml:space="preserve"> as a single transaction (important in the event of counterparty insolvency) and not as a disposal and a repurchase for tax purposes.</w:t>
      </w:r>
      <w:proofErr w:type="gramEnd"/>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following table summarizes the terminology: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130"/>
        <w:gridCol w:w="1441"/>
        <w:gridCol w:w="1441"/>
      </w:tblGrid>
      <w:tr w:rsidR="00D968C5" w:rsidRPr="00D968C5" w:rsidTr="00D968C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r w:rsidRPr="00D968C5">
              <w:rPr>
                <w:rFonts w:ascii="Arial" w:hAnsi="Arial" w:cs="Arial"/>
                <w:b/>
                <w:bCs/>
                <w:color w:val="000000"/>
                <w:sz w:val="20"/>
                <w:szCs w:val="20"/>
              </w:rPr>
              <w:t>Repo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r w:rsidRPr="00D968C5">
              <w:rPr>
                <w:rFonts w:ascii="Arial" w:hAnsi="Arial" w:cs="Arial"/>
                <w:b/>
                <w:bCs/>
                <w:color w:val="000000"/>
                <w:sz w:val="20"/>
                <w:szCs w:val="20"/>
              </w:rPr>
              <w:t>Reverse repo</w:t>
            </w:r>
          </w:p>
        </w:tc>
      </w:tr>
      <w:tr w:rsidR="00D968C5" w:rsidRPr="00D968C5" w:rsidTr="00D968C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r w:rsidRPr="00D968C5">
              <w:rPr>
                <w:rFonts w:ascii="Arial" w:hAnsi="Arial" w:cs="Arial"/>
                <w:b/>
                <w:bCs/>
                <w:color w:val="000000"/>
                <w:sz w:val="20"/>
                <w:szCs w:val="20"/>
              </w:rPr>
              <w:lastRenderedPageBreak/>
              <w:t>Participant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Borrower</w:t>
            </w:r>
            <w:r w:rsidRPr="00D968C5">
              <w:rPr>
                <w:rFonts w:ascii="Arial" w:hAnsi="Arial" w:cs="Arial"/>
                <w:color w:val="000000"/>
                <w:sz w:val="20"/>
                <w:szCs w:val="20"/>
              </w:rPr>
              <w:br/>
              <w:t>Seller</w:t>
            </w:r>
            <w:r w:rsidRPr="00D968C5">
              <w:rPr>
                <w:rFonts w:ascii="Arial" w:hAnsi="Arial" w:cs="Arial"/>
                <w:color w:val="000000"/>
                <w:sz w:val="20"/>
                <w:szCs w:val="20"/>
              </w:rPr>
              <w:br/>
              <w:t>Cash receiver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Lender</w:t>
            </w:r>
            <w:r w:rsidRPr="00D968C5">
              <w:rPr>
                <w:rFonts w:ascii="Arial" w:hAnsi="Arial" w:cs="Arial"/>
                <w:color w:val="000000"/>
                <w:sz w:val="20"/>
                <w:szCs w:val="20"/>
              </w:rPr>
              <w:br/>
              <w:t>Buyer</w:t>
            </w:r>
            <w:r w:rsidRPr="00D968C5">
              <w:rPr>
                <w:rFonts w:ascii="Arial" w:hAnsi="Arial" w:cs="Arial"/>
                <w:color w:val="000000"/>
                <w:sz w:val="20"/>
                <w:szCs w:val="20"/>
              </w:rPr>
              <w:br/>
              <w:t>Cash provider</w:t>
            </w:r>
          </w:p>
        </w:tc>
      </w:tr>
      <w:tr w:rsidR="00D968C5" w:rsidRPr="00D968C5" w:rsidTr="00D968C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r w:rsidRPr="00D968C5">
              <w:rPr>
                <w:rFonts w:ascii="Arial" w:hAnsi="Arial" w:cs="Arial"/>
                <w:b/>
                <w:bCs/>
                <w:color w:val="000000"/>
                <w:sz w:val="20"/>
                <w:szCs w:val="20"/>
              </w:rPr>
              <w:t>Near leg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Sells securities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Buys securities</w:t>
            </w:r>
          </w:p>
        </w:tc>
      </w:tr>
      <w:tr w:rsidR="00D968C5" w:rsidRPr="00D968C5" w:rsidTr="00D968C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968C5" w:rsidRPr="00D968C5" w:rsidRDefault="00D968C5">
            <w:pPr>
              <w:spacing w:before="240" w:after="240"/>
              <w:jc w:val="center"/>
              <w:rPr>
                <w:rFonts w:ascii="Arial" w:hAnsi="Arial" w:cs="Arial"/>
                <w:b/>
                <w:bCs/>
                <w:color w:val="000000"/>
                <w:sz w:val="20"/>
                <w:szCs w:val="20"/>
              </w:rPr>
            </w:pPr>
            <w:r w:rsidRPr="00D968C5">
              <w:rPr>
                <w:rFonts w:ascii="Arial" w:hAnsi="Arial" w:cs="Arial"/>
                <w:b/>
                <w:bCs/>
                <w:color w:val="000000"/>
                <w:sz w:val="20"/>
                <w:szCs w:val="20"/>
              </w:rPr>
              <w:t>Far leg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Buys securities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968C5" w:rsidRPr="00D968C5" w:rsidRDefault="00D968C5">
            <w:pPr>
              <w:spacing w:before="240" w:after="240"/>
              <w:rPr>
                <w:rFonts w:ascii="Arial" w:hAnsi="Arial" w:cs="Arial"/>
                <w:color w:val="000000"/>
                <w:sz w:val="20"/>
                <w:szCs w:val="20"/>
              </w:rPr>
            </w:pPr>
            <w:r w:rsidRPr="00D968C5">
              <w:rPr>
                <w:rFonts w:ascii="Arial" w:hAnsi="Arial" w:cs="Arial"/>
                <w:color w:val="000000"/>
                <w:sz w:val="20"/>
                <w:szCs w:val="20"/>
              </w:rPr>
              <w:t>Sells securities</w:t>
            </w:r>
          </w:p>
        </w:tc>
      </w:tr>
    </w:tbl>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Types of repo and related products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There are three types of repo maturities: overnight, term, and open repo. Overnight refers to a one-day maturity transaction. Term refers to a repo with a specified end date. Open simply has no end date. Although repos are typically short-term, it is not unusual to see repos with a maturity as long as two years.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 xml:space="preserve">Repo transactions occur in three forms: specified delivery, tri-party, and held in custody. The third form is quite rare in developing markets primarily due to risks. The first form requires the delivery of a </w:t>
      </w:r>
      <w:proofErr w:type="spellStart"/>
      <w:r w:rsidRPr="00D968C5">
        <w:rPr>
          <w:rFonts w:ascii="Arial" w:hAnsi="Arial" w:cs="Arial"/>
          <w:color w:val="000000"/>
          <w:sz w:val="20"/>
          <w:szCs w:val="20"/>
          <w:shd w:val="clear" w:color="auto" w:fill="FFFFFF"/>
          <w:lang/>
        </w:rPr>
        <w:t>prespecified</w:t>
      </w:r>
      <w:proofErr w:type="spellEnd"/>
      <w:r w:rsidRPr="00D968C5">
        <w:rPr>
          <w:rFonts w:ascii="Arial" w:hAnsi="Arial" w:cs="Arial"/>
          <w:color w:val="000000"/>
          <w:sz w:val="20"/>
          <w:szCs w:val="20"/>
          <w:shd w:val="clear" w:color="auto" w:fill="FFFFFF"/>
          <w:lang/>
        </w:rPr>
        <w:t xml:space="preserve"> bond at the onset, and at maturity of the contractual period. Tri-party essentially is a basket form of transaction, and allows for a wider range of instruments in the basket or pool. Tri-party utilizes a tri-party clearing agent or bank and is a more efficient form of repo transaction.</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Due bill/hold in-custody repo</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In 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due bill repo</w:t>
      </w:r>
      <w:r w:rsidRPr="00D968C5">
        <w:rPr>
          <w:rFonts w:ascii="Arial" w:hAnsi="Arial" w:cs="Arial"/>
          <w:color w:val="000000"/>
          <w:sz w:val="20"/>
          <w:szCs w:val="20"/>
          <w:shd w:val="clear" w:color="auto" w:fill="FFFFFF"/>
          <w:lang/>
        </w:rPr>
        <w:t>, the collateral pledged by the (cash) borrower is not actually delivered to the cash lender. Rather, it is placed in an internal account ("held in custody") by the borrower, for the lender, throughout the duration of the trade. This has become less common as the repo market has grown, particularly owing to the creation of centralized counterparties. Due to the high risk to the cash lender, these are generally only transacted with large, financially stable institutions.</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Tri-party repo</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distinguishing feature of 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tri-party repo</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is that a</w:t>
      </w:r>
      <w:r w:rsidRPr="00D968C5">
        <w:rPr>
          <w:rStyle w:val="apple-converted-space"/>
          <w:rFonts w:ascii="Arial" w:eastAsiaTheme="majorEastAsia" w:hAnsi="Arial" w:cs="Arial"/>
          <w:color w:val="000000"/>
          <w:sz w:val="20"/>
          <w:szCs w:val="20"/>
          <w:shd w:val="clear" w:color="auto" w:fill="FFFFFF"/>
          <w:lang/>
        </w:rPr>
        <w:t> </w:t>
      </w:r>
      <w:hyperlink r:id="rId105" w:tooltip="Custodian bank" w:history="1">
        <w:r w:rsidRPr="00D968C5">
          <w:rPr>
            <w:rStyle w:val="Hyperlink"/>
            <w:rFonts w:ascii="Arial" w:hAnsi="Arial" w:cs="Arial"/>
            <w:color w:val="0645AD"/>
            <w:sz w:val="20"/>
            <w:szCs w:val="20"/>
            <w:shd w:val="clear" w:color="auto" w:fill="FFFFFF"/>
            <w:lang/>
          </w:rPr>
          <w:t>custodian bank</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or</w:t>
      </w:r>
      <w:r w:rsidRPr="00D968C5">
        <w:rPr>
          <w:rStyle w:val="apple-converted-space"/>
          <w:rFonts w:ascii="Arial" w:eastAsiaTheme="majorEastAsia" w:hAnsi="Arial" w:cs="Arial"/>
          <w:color w:val="000000"/>
          <w:sz w:val="20"/>
          <w:szCs w:val="20"/>
          <w:shd w:val="clear" w:color="auto" w:fill="FFFFFF"/>
          <w:lang/>
        </w:rPr>
        <w:t> </w:t>
      </w:r>
      <w:hyperlink r:id="rId106" w:tooltip="Clearing house (finance)" w:history="1">
        <w:r w:rsidRPr="00D968C5">
          <w:rPr>
            <w:rStyle w:val="Hyperlink"/>
            <w:rFonts w:ascii="Arial" w:hAnsi="Arial" w:cs="Arial"/>
            <w:color w:val="0645AD"/>
            <w:sz w:val="20"/>
            <w:szCs w:val="20"/>
            <w:shd w:val="clear" w:color="auto" w:fill="FFFFFF"/>
            <w:lang/>
          </w:rPr>
          <w:t>international clearing organization</w:t>
        </w:r>
      </w:hyperlink>
      <w:r w:rsidRPr="00D968C5">
        <w:rPr>
          <w:rFonts w:ascii="Arial" w:hAnsi="Arial" w:cs="Arial"/>
          <w:color w:val="000000"/>
          <w:sz w:val="20"/>
          <w:szCs w:val="20"/>
          <w:shd w:val="clear" w:color="auto" w:fill="FFFFFF"/>
          <w:lang/>
        </w:rPr>
        <w:t>, the tri-party agent, acts as an intermediary between the two parties to the repo. The tri-party agent is responsible for the administration of the transaction including collateral allocation,</w:t>
      </w:r>
      <w:r w:rsidRPr="00D968C5">
        <w:rPr>
          <w:rStyle w:val="apple-converted-space"/>
          <w:rFonts w:ascii="Arial" w:eastAsiaTheme="majorEastAsia" w:hAnsi="Arial" w:cs="Arial"/>
          <w:color w:val="000000"/>
          <w:sz w:val="20"/>
          <w:szCs w:val="20"/>
          <w:shd w:val="clear" w:color="auto" w:fill="FFFFFF"/>
          <w:lang/>
        </w:rPr>
        <w:t> </w:t>
      </w:r>
      <w:hyperlink r:id="rId107" w:tooltip="Mark-to-market" w:history="1">
        <w:r w:rsidRPr="00D968C5">
          <w:rPr>
            <w:rStyle w:val="Hyperlink"/>
            <w:rFonts w:ascii="Arial" w:hAnsi="Arial" w:cs="Arial"/>
            <w:color w:val="0645AD"/>
            <w:sz w:val="20"/>
            <w:szCs w:val="20"/>
            <w:shd w:val="clear" w:color="auto" w:fill="FFFFFF"/>
            <w:lang/>
          </w:rPr>
          <w:t>marking to market</w:t>
        </w:r>
      </w:hyperlink>
      <w:r w:rsidRPr="00D968C5">
        <w:rPr>
          <w:rFonts w:ascii="Arial" w:hAnsi="Arial" w:cs="Arial"/>
          <w:color w:val="000000"/>
          <w:sz w:val="20"/>
          <w:szCs w:val="20"/>
          <w:shd w:val="clear" w:color="auto" w:fill="FFFFFF"/>
          <w:lang/>
        </w:rPr>
        <w:t>, and substitution of collateral. In the US, the two principal tri-party agents are</w:t>
      </w:r>
      <w:r w:rsidRPr="00D968C5">
        <w:rPr>
          <w:rStyle w:val="apple-converted-space"/>
          <w:rFonts w:ascii="Arial" w:eastAsiaTheme="majorEastAsia" w:hAnsi="Arial" w:cs="Arial"/>
          <w:color w:val="000000"/>
          <w:sz w:val="20"/>
          <w:szCs w:val="20"/>
          <w:shd w:val="clear" w:color="auto" w:fill="FFFFFF"/>
          <w:lang/>
        </w:rPr>
        <w:t> </w:t>
      </w:r>
      <w:hyperlink r:id="rId108" w:tooltip="The Bank of New York Mellon" w:history="1">
        <w:r w:rsidRPr="00D968C5">
          <w:rPr>
            <w:rStyle w:val="Hyperlink"/>
            <w:rFonts w:ascii="Arial" w:hAnsi="Arial" w:cs="Arial"/>
            <w:color w:val="0645AD"/>
            <w:sz w:val="20"/>
            <w:szCs w:val="20"/>
            <w:shd w:val="clear" w:color="auto" w:fill="FFFFFF"/>
            <w:lang/>
          </w:rPr>
          <w:t>The Bank of New York Mellon</w:t>
        </w:r>
      </w:hyperlink>
      <w:r w:rsidRPr="00D968C5">
        <w:rPr>
          <w:rStyle w:val="apple-converted-space"/>
          <w:rFonts w:ascii="Arial" w:eastAsiaTheme="majorEastAsia" w:hAnsi="Arial" w:cs="Arial"/>
          <w:color w:val="000000"/>
          <w:sz w:val="20"/>
          <w:szCs w:val="20"/>
          <w:shd w:val="clear" w:color="auto" w:fill="FFFFFF"/>
          <w:lang/>
        </w:rPr>
        <w:t> </w:t>
      </w:r>
      <w:proofErr w:type="spellStart"/>
      <w:r w:rsidRPr="00D968C5">
        <w:rPr>
          <w:rFonts w:ascii="Arial" w:hAnsi="Arial" w:cs="Arial"/>
          <w:color w:val="000000"/>
          <w:sz w:val="20"/>
          <w:szCs w:val="20"/>
          <w:shd w:val="clear" w:color="auto" w:fill="FFFFFF"/>
          <w:lang/>
        </w:rPr>
        <w:t>and</w:t>
      </w:r>
      <w:hyperlink r:id="rId109" w:tooltip="JP Morgan Chase" w:history="1">
        <w:r w:rsidRPr="00D968C5">
          <w:rPr>
            <w:rStyle w:val="Hyperlink"/>
            <w:rFonts w:ascii="Arial" w:hAnsi="Arial" w:cs="Arial"/>
            <w:color w:val="0645AD"/>
            <w:sz w:val="20"/>
            <w:szCs w:val="20"/>
            <w:shd w:val="clear" w:color="auto" w:fill="FFFFFF"/>
            <w:lang/>
          </w:rPr>
          <w:t>JP</w:t>
        </w:r>
        <w:proofErr w:type="spellEnd"/>
        <w:r w:rsidRPr="00D968C5">
          <w:rPr>
            <w:rStyle w:val="Hyperlink"/>
            <w:rFonts w:ascii="Arial" w:hAnsi="Arial" w:cs="Arial"/>
            <w:color w:val="0645AD"/>
            <w:sz w:val="20"/>
            <w:szCs w:val="20"/>
            <w:shd w:val="clear" w:color="auto" w:fill="FFFFFF"/>
            <w:lang/>
          </w:rPr>
          <w:t xml:space="preserve"> Morgan Chase</w:t>
        </w:r>
      </w:hyperlink>
      <w:r w:rsidRPr="00D968C5">
        <w:rPr>
          <w:rFonts w:ascii="Arial" w:hAnsi="Arial" w:cs="Arial"/>
          <w:color w:val="000000"/>
          <w:sz w:val="20"/>
          <w:szCs w:val="20"/>
          <w:shd w:val="clear" w:color="auto" w:fill="FFFFFF"/>
          <w:lang/>
        </w:rPr>
        <w:t>. The size of the US tri-party repo market peaked in 2008 before the worst effects of the</w:t>
      </w:r>
      <w:r w:rsidRPr="00D968C5">
        <w:rPr>
          <w:rStyle w:val="apple-converted-space"/>
          <w:rFonts w:ascii="Arial" w:eastAsiaTheme="majorEastAsia" w:hAnsi="Arial" w:cs="Arial"/>
          <w:color w:val="000000"/>
          <w:sz w:val="20"/>
          <w:szCs w:val="20"/>
          <w:shd w:val="clear" w:color="auto" w:fill="FFFFFF"/>
          <w:lang/>
        </w:rPr>
        <w:t> </w:t>
      </w:r>
      <w:hyperlink r:id="rId110" w:tooltip="Financial crisis of 2007–2010" w:history="1">
        <w:r w:rsidRPr="00D968C5">
          <w:rPr>
            <w:rStyle w:val="Hyperlink"/>
            <w:rFonts w:ascii="Arial" w:hAnsi="Arial" w:cs="Arial"/>
            <w:color w:val="0645AD"/>
            <w:sz w:val="20"/>
            <w:szCs w:val="20"/>
            <w:shd w:val="clear" w:color="auto" w:fill="FFFFFF"/>
            <w:lang/>
          </w:rPr>
          <w:t>crisis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at approximately $2.8 trillion and by mid 2010 was about $1.6 trillion.</w:t>
      </w:r>
      <w:r w:rsidRPr="00D968C5">
        <w:rPr>
          <w:rStyle w:val="apple-converted-space"/>
          <w:rFonts w:ascii="Arial" w:eastAsiaTheme="majorEastAsia" w:hAnsi="Arial" w:cs="Arial"/>
          <w:color w:val="000000"/>
          <w:sz w:val="20"/>
          <w:szCs w:val="20"/>
          <w:shd w:val="clear" w:color="auto" w:fill="FFFFFF"/>
          <w:lang/>
        </w:rPr>
        <w:t> </w:t>
      </w:r>
      <w:hyperlink r:id="rId111" w:anchor="cite_note-Gillian-0" w:history="1">
        <w:r w:rsidRPr="00D968C5">
          <w:rPr>
            <w:rStyle w:val="Hyperlink"/>
            <w:rFonts w:ascii="Arial" w:hAnsi="Arial" w:cs="Arial"/>
            <w:color w:val="0645AD"/>
            <w:sz w:val="20"/>
            <w:szCs w:val="20"/>
            <w:shd w:val="clear" w:color="auto" w:fill="FFFFFF"/>
            <w:vertAlign w:val="superscript"/>
            <w:lang/>
          </w:rPr>
          <w:t>[1]</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As tri-party agents administer hundreds of billions of US$ of collateral, they have the scale to subscribe to multiple data feeds to </w:t>
      </w:r>
      <w:proofErr w:type="spellStart"/>
      <w:r w:rsidRPr="00D968C5">
        <w:rPr>
          <w:rFonts w:ascii="Arial" w:hAnsi="Arial" w:cs="Arial"/>
          <w:color w:val="000000"/>
          <w:sz w:val="20"/>
          <w:szCs w:val="20"/>
          <w:shd w:val="clear" w:color="auto" w:fill="FFFFFF"/>
          <w:lang/>
        </w:rPr>
        <w:t>maximise</w:t>
      </w:r>
      <w:proofErr w:type="spellEnd"/>
      <w:r w:rsidRPr="00D968C5">
        <w:rPr>
          <w:rFonts w:ascii="Arial" w:hAnsi="Arial" w:cs="Arial"/>
          <w:color w:val="000000"/>
          <w:sz w:val="20"/>
          <w:szCs w:val="20"/>
          <w:shd w:val="clear" w:color="auto" w:fill="FFFFFF"/>
          <w:lang/>
        </w:rPr>
        <w:t xml:space="preserve"> the universe of coverage. As part of a tri-party agreement the three parties to the agreement, the tri-party agent, the repo buyer and the repo seller agree to a collateral management service agreement which includes an "eligible collateral profile". It is this "eligible collateral profile" that enables the repo buyer to define their risk appetite in respect of the collateral that they are prepared to hold against their cash. For example a more risk </w:t>
      </w:r>
      <w:proofErr w:type="gramStart"/>
      <w:r w:rsidRPr="00D968C5">
        <w:rPr>
          <w:rFonts w:ascii="Arial" w:hAnsi="Arial" w:cs="Arial"/>
          <w:color w:val="000000"/>
          <w:sz w:val="20"/>
          <w:szCs w:val="20"/>
          <w:shd w:val="clear" w:color="auto" w:fill="FFFFFF"/>
          <w:lang/>
        </w:rPr>
        <w:t>averse</w:t>
      </w:r>
      <w:proofErr w:type="gramEnd"/>
      <w:r w:rsidRPr="00D968C5">
        <w:rPr>
          <w:rFonts w:ascii="Arial" w:hAnsi="Arial" w:cs="Arial"/>
          <w:color w:val="000000"/>
          <w:sz w:val="20"/>
          <w:szCs w:val="20"/>
          <w:shd w:val="clear" w:color="auto" w:fill="FFFFFF"/>
          <w:lang/>
        </w:rPr>
        <w:t xml:space="preserve"> repo buyer may wish to only hold "on-the-run" government bonds as collateral. In the event of a liquidation event of the repo seller the collateral is highly liquid thus enabling the repo buyer to sell the </w:t>
      </w:r>
      <w:r w:rsidRPr="00D968C5">
        <w:rPr>
          <w:rFonts w:ascii="Arial" w:hAnsi="Arial" w:cs="Arial"/>
          <w:color w:val="000000"/>
          <w:sz w:val="20"/>
          <w:szCs w:val="20"/>
          <w:shd w:val="clear" w:color="auto" w:fill="FFFFFF"/>
          <w:lang/>
        </w:rPr>
        <w:lastRenderedPageBreak/>
        <w:t xml:space="preserve">collateral quickly. A less risk </w:t>
      </w:r>
      <w:proofErr w:type="gramStart"/>
      <w:r w:rsidRPr="00D968C5">
        <w:rPr>
          <w:rFonts w:ascii="Arial" w:hAnsi="Arial" w:cs="Arial"/>
          <w:color w:val="000000"/>
          <w:sz w:val="20"/>
          <w:szCs w:val="20"/>
          <w:shd w:val="clear" w:color="auto" w:fill="FFFFFF"/>
          <w:lang/>
        </w:rPr>
        <w:t>averse</w:t>
      </w:r>
      <w:proofErr w:type="gramEnd"/>
      <w:r w:rsidRPr="00D968C5">
        <w:rPr>
          <w:rFonts w:ascii="Arial" w:hAnsi="Arial" w:cs="Arial"/>
          <w:color w:val="000000"/>
          <w:sz w:val="20"/>
          <w:szCs w:val="20"/>
          <w:shd w:val="clear" w:color="auto" w:fill="FFFFFF"/>
          <w:lang/>
        </w:rPr>
        <w:t xml:space="preserve"> repo buyer may be prepared to take non investment grade bonds or equities as collateral, these may be less liquid and may suffer a higher price volatility in the event of a repo seller default, making it more difficult for the repo buyer to sell the collateral and recover their cash. The tri-party agents are able to offer sophisticated collateral eligibility filters which allow the repo buyer to create these "eligible collateral profiles" which can systemically generate collateral pools which reflect the buyer's risk appetite.</w:t>
      </w:r>
      <w:hyperlink r:id="rId112" w:anchor="cite_note-1" w:history="1">
        <w:r w:rsidRPr="00D968C5">
          <w:rPr>
            <w:rStyle w:val="Hyperlink"/>
            <w:rFonts w:ascii="Arial" w:hAnsi="Arial" w:cs="Arial"/>
            <w:color w:val="0645AD"/>
            <w:sz w:val="20"/>
            <w:szCs w:val="20"/>
            <w:shd w:val="clear" w:color="auto" w:fill="FFFFFF"/>
            <w:vertAlign w:val="superscript"/>
            <w:lang/>
          </w:rPr>
          <w:t>[2]</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Collateral eligibility criteria could include asset type, issuer, currency, domicile, credit rating, maturity, index, issue size, average daily traded volume, etc. Both the lender (repo buyer) and borrower (repo seller) of cash enter into these transactions to avoid the administrative burden of bi-lateral repos. In addition, because the collateral is being held by an agent,</w:t>
      </w:r>
      <w:r w:rsidRPr="00D968C5">
        <w:rPr>
          <w:rStyle w:val="apple-converted-space"/>
          <w:rFonts w:ascii="Arial" w:eastAsiaTheme="majorEastAsia" w:hAnsi="Arial" w:cs="Arial"/>
          <w:color w:val="000000"/>
          <w:sz w:val="20"/>
          <w:szCs w:val="20"/>
          <w:shd w:val="clear" w:color="auto" w:fill="FFFFFF"/>
          <w:lang/>
        </w:rPr>
        <w:t> </w:t>
      </w:r>
      <w:hyperlink r:id="rId113" w:tooltip="Counterparty" w:history="1">
        <w:r w:rsidRPr="00D968C5">
          <w:rPr>
            <w:rStyle w:val="Hyperlink"/>
            <w:rFonts w:ascii="Arial" w:hAnsi="Arial" w:cs="Arial"/>
            <w:color w:val="0645AD"/>
            <w:sz w:val="20"/>
            <w:szCs w:val="20"/>
            <w:shd w:val="clear" w:color="auto" w:fill="FFFFFF"/>
            <w:lang/>
          </w:rPr>
          <w:t>counterparty</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risk is reduced. A tri-party repo may be seen as the outgrowth of </w:t>
      </w:r>
      <w:proofErr w:type="spellStart"/>
      <w:r w:rsidRPr="00D968C5">
        <w:rPr>
          <w:rFonts w:ascii="Arial" w:hAnsi="Arial" w:cs="Arial"/>
          <w:color w:val="000000"/>
          <w:sz w:val="20"/>
          <w:szCs w:val="20"/>
          <w:shd w:val="clear" w:color="auto" w:fill="FFFFFF"/>
          <w:lang/>
        </w:rPr>
        <w:t>the</w:t>
      </w:r>
      <w:r w:rsidRPr="00D968C5">
        <w:rPr>
          <w:rFonts w:ascii="Arial" w:hAnsi="Arial" w:cs="Arial"/>
          <w:b/>
          <w:bCs/>
          <w:color w:val="000000"/>
          <w:sz w:val="20"/>
          <w:szCs w:val="20"/>
          <w:shd w:val="clear" w:color="auto" w:fill="FFFFFF"/>
          <w:lang/>
        </w:rPr>
        <w:t>due</w:t>
      </w:r>
      <w:proofErr w:type="spellEnd"/>
      <w:r w:rsidRPr="00D968C5">
        <w:rPr>
          <w:rFonts w:ascii="Arial" w:hAnsi="Arial" w:cs="Arial"/>
          <w:b/>
          <w:bCs/>
          <w:color w:val="000000"/>
          <w:sz w:val="20"/>
          <w:szCs w:val="20"/>
          <w:shd w:val="clear" w:color="auto" w:fill="FFFFFF"/>
          <w:lang/>
        </w:rPr>
        <w:t xml:space="preserve"> bill repo</w:t>
      </w:r>
      <w:r w:rsidRPr="00D968C5">
        <w:rPr>
          <w:rFonts w:ascii="Arial" w:hAnsi="Arial" w:cs="Arial"/>
          <w:color w:val="000000"/>
          <w:sz w:val="20"/>
          <w:szCs w:val="20"/>
          <w:shd w:val="clear" w:color="auto" w:fill="FFFFFF"/>
          <w:lang/>
        </w:rPr>
        <w:t>, in which the collateral is held by a neutral third party.</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Whole loan repo</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whole loan repo</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is a form of repo where the transaction is collateralized by a loan or other form of obligation (e.g. mortgage receivables) rather than a security.</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Equity repo</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underlying security for many repo transactions is in the form of government or corporate bonds.</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Equity repos</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are simply repos on equity securities such as common (or ordinary) shares. Some complications can arise because of greater complexity in the tax rules for dividends as opposed to coupons.</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Sell/buy backs and buy/sell backs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sell/buy back</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is the spot sale and a forward repurchase of a security. It is two distinct outright cash market trades, one for forward settlement. The forward price is set relative to the spot price to yield a market rate of return. The basic motivation of sell/buy backs is generally the same as for a</w:t>
      </w:r>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b/>
          <w:bCs/>
          <w:color w:val="000000"/>
          <w:sz w:val="20"/>
          <w:szCs w:val="20"/>
          <w:shd w:val="clear" w:color="auto" w:fill="FFFFFF"/>
          <w:lang/>
        </w:rPr>
        <w:t>classic repo</w:t>
      </w:r>
      <w:r w:rsidRPr="00D968C5">
        <w:rPr>
          <w:rFonts w:ascii="Arial" w:hAnsi="Arial" w:cs="Arial"/>
          <w:color w:val="000000"/>
          <w:sz w:val="20"/>
          <w:szCs w:val="20"/>
          <w:shd w:val="clear" w:color="auto" w:fill="FFFFFF"/>
          <w:lang/>
        </w:rPr>
        <w:t>, i.e. attempting to benefit from the lower financing rates generally available for collateralized as opposed to non-secured borrowing. The economics of the transaction are also similar with the interest on the cash borrowed through the sell/buy back being implicit in the difference between the sale price and the purchase price.</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There are a number of differences between the two structures. A repo is technically a single transaction whereas a sell/buy back is a pair of transactions (a sell and a buy). A sell/buy back does not require any special legal documentation while a repo generally requires a master agreement to be in place between the buyer and seller (typically the SIFMA/ICMA commissioned Global Master Repo Agreement (GMRA)). For this reason there is an associated increase in risk compared to repo. Should the counterparty default, the lack of agreement may lessen legal standing in retrieving collateral. Any coupon payment on the underlying security during the life of the sell/buy back will generally be passed back to the seller of the security by adjusting the cash paid at the termination of the sell/buy back. In a repo, the coupon will be passed on immediately to the seller of the security.</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 buy/sell back is the equivalent of a "reverse repo".</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lastRenderedPageBreak/>
        <w:t>Securities lending</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In</w:t>
      </w:r>
      <w:r w:rsidRPr="00D968C5">
        <w:rPr>
          <w:rStyle w:val="apple-converted-space"/>
          <w:rFonts w:ascii="Arial" w:eastAsiaTheme="majorEastAsia" w:hAnsi="Arial" w:cs="Arial"/>
          <w:color w:val="000000"/>
          <w:sz w:val="20"/>
          <w:szCs w:val="20"/>
          <w:shd w:val="clear" w:color="auto" w:fill="FFFFFF"/>
          <w:lang/>
        </w:rPr>
        <w:t> </w:t>
      </w:r>
      <w:hyperlink r:id="rId114" w:tooltip="Securities lending" w:history="1">
        <w:r w:rsidRPr="00D968C5">
          <w:rPr>
            <w:rStyle w:val="Hyperlink"/>
            <w:rFonts w:ascii="Arial" w:hAnsi="Arial" w:cs="Arial"/>
            <w:color w:val="0645AD"/>
            <w:sz w:val="20"/>
            <w:szCs w:val="20"/>
            <w:shd w:val="clear" w:color="auto" w:fill="FFFFFF"/>
            <w:lang/>
          </w:rPr>
          <w:t>securities lending</w:t>
        </w:r>
      </w:hyperlink>
      <w:r w:rsidRPr="00D968C5">
        <w:rPr>
          <w:rFonts w:ascii="Arial" w:hAnsi="Arial" w:cs="Arial"/>
          <w:color w:val="000000"/>
          <w:sz w:val="20"/>
          <w:szCs w:val="20"/>
          <w:shd w:val="clear" w:color="auto" w:fill="FFFFFF"/>
          <w:lang/>
        </w:rPr>
        <w:t>, the purpose is to temporarily obtain the security for other purposes, such as covering short positions or for use in complex financial structures. Securities are generally lent out for a fee and securities lending trades are governed by different types of legal agreements than repos.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Repos have traditionally been used as a form of collateralized loan and have been treated as such for tax purposes. Modern Repo agreements, however, often allow the cash lender to sell the security provided as collateral and substitute an equivalent security at repurchase.</w:t>
      </w:r>
      <w:hyperlink r:id="rId115" w:anchor="cite_note-2" w:history="1">
        <w:r w:rsidRPr="00D968C5">
          <w:rPr>
            <w:rStyle w:val="Hyperlink"/>
            <w:rFonts w:ascii="Arial" w:hAnsi="Arial" w:cs="Arial"/>
            <w:color w:val="0645AD"/>
            <w:sz w:val="20"/>
            <w:szCs w:val="20"/>
            <w:shd w:val="clear" w:color="auto" w:fill="FFFFFF"/>
            <w:vertAlign w:val="superscript"/>
            <w:lang/>
          </w:rPr>
          <w:t>[3]</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In this way the cash lender acts as a security borrower and the Repo agreement can be used to take a</w:t>
      </w:r>
      <w:r w:rsidRPr="00D968C5">
        <w:rPr>
          <w:rStyle w:val="apple-converted-space"/>
          <w:rFonts w:ascii="Arial" w:eastAsiaTheme="majorEastAsia" w:hAnsi="Arial" w:cs="Arial"/>
          <w:color w:val="000000"/>
          <w:sz w:val="20"/>
          <w:szCs w:val="20"/>
          <w:shd w:val="clear" w:color="auto" w:fill="FFFFFF"/>
          <w:lang/>
        </w:rPr>
        <w:t> </w:t>
      </w:r>
      <w:hyperlink r:id="rId116" w:tooltip="Short position" w:history="1">
        <w:r w:rsidRPr="00D968C5">
          <w:rPr>
            <w:rStyle w:val="Hyperlink"/>
            <w:rFonts w:ascii="Arial" w:hAnsi="Arial" w:cs="Arial"/>
            <w:color w:val="0645AD"/>
            <w:sz w:val="20"/>
            <w:szCs w:val="20"/>
            <w:shd w:val="clear" w:color="auto" w:fill="FFFFFF"/>
            <w:lang/>
          </w:rPr>
          <w:t>short position</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in the security very much like a security loan might be used.</w:t>
      </w:r>
      <w:hyperlink r:id="rId117" w:anchor="cite_note-3" w:history="1">
        <w:r w:rsidRPr="00D968C5">
          <w:rPr>
            <w:rStyle w:val="Hyperlink"/>
            <w:rFonts w:ascii="Arial" w:hAnsi="Arial" w:cs="Arial"/>
            <w:color w:val="0645AD"/>
            <w:sz w:val="20"/>
            <w:szCs w:val="20"/>
            <w:shd w:val="clear" w:color="auto" w:fill="FFFFFF"/>
            <w:vertAlign w:val="superscript"/>
            <w:lang/>
          </w:rPr>
          <w:t>[4]</w:t>
        </w:r>
      </w:hyperlink>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Reverse Repo</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A reverse repo is simply the same repurchase agreement from the buyer's viewpoint, not the seller's. Hence, the seller executing the transaction would describe it as a "repo", while the buyer in the same transaction would describe it a "reverse repo". So "repo" and "reverse repo" are exactly the same kind of transaction, just described from opposite viewpoints. The term "reverse repo and sale" is commonly used to describe the creation of a short position in a debt instrument where the buyer in the repo transaction immediately sells the security provided by the seller on the open market. On the settlement date of the repo, the buyer acquires the relevant security on the open market and delivers it to the seller. In such a short transaction the seller is wagering that the relevant security will decline in value between the date of the repo and the settlement date.</w:t>
      </w:r>
    </w:p>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Uses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For the buyer, a repo is an opportunity to invest cash for a customized period of time (other investments typically limit tenures). It is short-term and safer as a secured investment since the investor receives collateral.</w:t>
      </w:r>
      <w:r w:rsidRPr="00D968C5">
        <w:rPr>
          <w:rStyle w:val="apple-converted-space"/>
          <w:rFonts w:ascii="Arial" w:eastAsiaTheme="majorEastAsia" w:hAnsi="Arial" w:cs="Arial"/>
          <w:color w:val="000000"/>
          <w:sz w:val="20"/>
          <w:szCs w:val="20"/>
          <w:shd w:val="clear" w:color="auto" w:fill="FFFFFF"/>
          <w:lang/>
        </w:rPr>
        <w:t> </w:t>
      </w:r>
      <w:hyperlink r:id="rId118" w:tooltip="Market liquidity" w:history="1">
        <w:r w:rsidRPr="00D968C5">
          <w:rPr>
            <w:rStyle w:val="Hyperlink"/>
            <w:rFonts w:ascii="Arial" w:hAnsi="Arial" w:cs="Arial"/>
            <w:color w:val="0645AD"/>
            <w:sz w:val="20"/>
            <w:szCs w:val="20"/>
            <w:shd w:val="clear" w:color="auto" w:fill="FFFFFF"/>
            <w:lang/>
          </w:rPr>
          <w:t>Market liquidity</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for repos is good, and rates are competitive for investors.</w:t>
      </w:r>
      <w:r w:rsidRPr="00D968C5">
        <w:rPr>
          <w:rStyle w:val="apple-converted-space"/>
          <w:rFonts w:ascii="Arial" w:eastAsiaTheme="majorEastAsia" w:hAnsi="Arial" w:cs="Arial"/>
          <w:color w:val="000000"/>
          <w:sz w:val="20"/>
          <w:szCs w:val="20"/>
          <w:shd w:val="clear" w:color="auto" w:fill="FFFFFF"/>
          <w:lang/>
        </w:rPr>
        <w:t> </w:t>
      </w:r>
      <w:hyperlink r:id="rId119" w:tooltip="Money fund" w:history="1">
        <w:r w:rsidRPr="00D968C5">
          <w:rPr>
            <w:rStyle w:val="Hyperlink"/>
            <w:rFonts w:ascii="Arial" w:hAnsi="Arial" w:cs="Arial"/>
            <w:color w:val="0645AD"/>
            <w:sz w:val="20"/>
            <w:szCs w:val="20"/>
            <w:shd w:val="clear" w:color="auto" w:fill="FFFFFF"/>
            <w:lang/>
          </w:rPr>
          <w:t>Money Funds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are large buyers of Repurchase Agreements.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For traders in trading firms, repos are used to finance</w:t>
      </w:r>
      <w:r w:rsidRPr="00D968C5">
        <w:rPr>
          <w:rStyle w:val="apple-converted-space"/>
          <w:rFonts w:ascii="Arial" w:eastAsiaTheme="majorEastAsia" w:hAnsi="Arial" w:cs="Arial"/>
          <w:color w:val="000000"/>
          <w:sz w:val="20"/>
          <w:szCs w:val="20"/>
          <w:shd w:val="clear" w:color="auto" w:fill="FFFFFF"/>
          <w:lang/>
        </w:rPr>
        <w:t> </w:t>
      </w:r>
      <w:hyperlink r:id="rId120" w:tooltip="Long (finance)" w:history="1">
        <w:r w:rsidRPr="00D968C5">
          <w:rPr>
            <w:rStyle w:val="Hyperlink"/>
            <w:rFonts w:ascii="Arial" w:hAnsi="Arial" w:cs="Arial"/>
            <w:color w:val="0645AD"/>
            <w:sz w:val="20"/>
            <w:szCs w:val="20"/>
            <w:shd w:val="clear" w:color="auto" w:fill="FFFFFF"/>
            <w:lang/>
          </w:rPr>
          <w:t>long</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positions, obtain access to cheaper funding costs of other speculative investments, and cover short positions in securities.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In addition to using repo as a funding vehicle, repo traders "</w:t>
      </w:r>
      <w:hyperlink r:id="rId121" w:tooltip="Market maker" w:history="1">
        <w:r w:rsidRPr="00D968C5">
          <w:rPr>
            <w:rStyle w:val="Hyperlink"/>
            <w:rFonts w:ascii="Arial" w:hAnsi="Arial" w:cs="Arial"/>
            <w:color w:val="0645AD"/>
            <w:sz w:val="20"/>
            <w:szCs w:val="20"/>
            <w:shd w:val="clear" w:color="auto" w:fill="FFFFFF"/>
            <w:lang/>
          </w:rPr>
          <w:t>make markets</w:t>
        </w:r>
      </w:hyperlink>
      <w:r w:rsidRPr="00D968C5">
        <w:rPr>
          <w:rFonts w:ascii="Arial" w:hAnsi="Arial" w:cs="Arial"/>
          <w:color w:val="000000"/>
          <w:sz w:val="20"/>
          <w:szCs w:val="20"/>
          <w:shd w:val="clear" w:color="auto" w:fill="FFFFFF"/>
          <w:lang/>
        </w:rPr>
        <w:t>". These traders have been traditionally known as "matched-book repo traders". The concept of a matched-book trade follows closely to that of a broker who takes both sides of an active trade, essentially having no market risk, only credit risk. Elementary matched-book traders engage in both the repo and a reverse repo within a short period of time, capturing the profits from the bid/ask spread between the reverse repo and repo rates. Presently, matched-book repo traders employ other profit strategies, such as non-matched maturities, collateral swaps, and liquidity management.</w:t>
      </w:r>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t>United States Federal Reserve use of repos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Repurchase agreements when transacted by the</w:t>
      </w:r>
      <w:r w:rsidRPr="00D968C5">
        <w:rPr>
          <w:rStyle w:val="apple-converted-space"/>
          <w:rFonts w:ascii="Arial" w:eastAsiaTheme="majorEastAsia" w:hAnsi="Arial" w:cs="Arial"/>
          <w:color w:val="000000"/>
          <w:sz w:val="20"/>
          <w:szCs w:val="20"/>
          <w:shd w:val="clear" w:color="auto" w:fill="FFFFFF"/>
          <w:lang/>
        </w:rPr>
        <w:t> </w:t>
      </w:r>
      <w:hyperlink r:id="rId122" w:tooltip="Federal Open Market Committee" w:history="1">
        <w:r w:rsidRPr="00D968C5">
          <w:rPr>
            <w:rStyle w:val="Hyperlink"/>
            <w:rFonts w:ascii="Arial" w:hAnsi="Arial" w:cs="Arial"/>
            <w:color w:val="0645AD"/>
            <w:sz w:val="20"/>
            <w:szCs w:val="20"/>
            <w:shd w:val="clear" w:color="auto" w:fill="FFFFFF"/>
            <w:lang/>
          </w:rPr>
          <w:t>Federal Open Market Committee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of the</w:t>
      </w:r>
      <w:r w:rsidRPr="00D968C5">
        <w:rPr>
          <w:rStyle w:val="apple-converted-space"/>
          <w:rFonts w:ascii="Arial" w:eastAsiaTheme="majorEastAsia" w:hAnsi="Arial" w:cs="Arial"/>
          <w:color w:val="000000"/>
          <w:sz w:val="20"/>
          <w:szCs w:val="20"/>
          <w:shd w:val="clear" w:color="auto" w:fill="FFFFFF"/>
          <w:lang/>
        </w:rPr>
        <w:t> </w:t>
      </w:r>
      <w:hyperlink r:id="rId123" w:tooltip="Federal Reserve System" w:history="1">
        <w:r w:rsidRPr="00D968C5">
          <w:rPr>
            <w:rStyle w:val="Hyperlink"/>
            <w:rFonts w:ascii="Arial" w:hAnsi="Arial" w:cs="Arial"/>
            <w:color w:val="0645AD"/>
            <w:sz w:val="20"/>
            <w:szCs w:val="20"/>
            <w:shd w:val="clear" w:color="auto" w:fill="FFFFFF"/>
            <w:lang/>
          </w:rPr>
          <w:t>Federal Reserve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in</w:t>
      </w:r>
      <w:r w:rsidRPr="00D968C5">
        <w:rPr>
          <w:rStyle w:val="apple-converted-space"/>
          <w:rFonts w:ascii="Arial" w:eastAsiaTheme="majorEastAsia" w:hAnsi="Arial" w:cs="Arial"/>
          <w:color w:val="000000"/>
          <w:sz w:val="20"/>
          <w:szCs w:val="20"/>
          <w:shd w:val="clear" w:color="auto" w:fill="FFFFFF"/>
          <w:lang/>
        </w:rPr>
        <w:t> </w:t>
      </w:r>
      <w:hyperlink r:id="rId124" w:tooltip="Open market operations" w:history="1">
        <w:r w:rsidRPr="00D968C5">
          <w:rPr>
            <w:rStyle w:val="Hyperlink"/>
            <w:rFonts w:ascii="Arial" w:hAnsi="Arial" w:cs="Arial"/>
            <w:color w:val="0645AD"/>
            <w:sz w:val="20"/>
            <w:szCs w:val="20"/>
            <w:shd w:val="clear" w:color="auto" w:fill="FFFFFF"/>
            <w:lang/>
          </w:rPr>
          <w:t>open market operations</w:t>
        </w:r>
      </w:hyperlink>
      <w:r w:rsidRPr="00D968C5">
        <w:rPr>
          <w:rStyle w:val="apple-converted-space"/>
          <w:rFonts w:ascii="Arial" w:eastAsiaTheme="majorEastAsia" w:hAnsi="Arial" w:cs="Arial"/>
          <w:color w:val="000000"/>
          <w:sz w:val="20"/>
          <w:szCs w:val="20"/>
          <w:shd w:val="clear" w:color="auto" w:fill="FFFFFF"/>
          <w:lang/>
        </w:rPr>
        <w:t> </w:t>
      </w:r>
      <w:proofErr w:type="spellStart"/>
      <w:r w:rsidRPr="00D968C5">
        <w:rPr>
          <w:rFonts w:ascii="Arial" w:hAnsi="Arial" w:cs="Arial"/>
          <w:color w:val="000000"/>
          <w:sz w:val="20"/>
          <w:szCs w:val="20"/>
          <w:shd w:val="clear" w:color="auto" w:fill="FFFFFF"/>
          <w:lang/>
        </w:rPr>
        <w:t>adds</w:t>
      </w:r>
      <w:hyperlink r:id="rId125" w:tooltip="Bank reserves" w:history="1">
        <w:r w:rsidRPr="00D968C5">
          <w:rPr>
            <w:rStyle w:val="Hyperlink"/>
            <w:rFonts w:ascii="Arial" w:hAnsi="Arial" w:cs="Arial"/>
            <w:color w:val="0645AD"/>
            <w:sz w:val="20"/>
            <w:szCs w:val="20"/>
            <w:shd w:val="clear" w:color="auto" w:fill="FFFFFF"/>
            <w:lang/>
          </w:rPr>
          <w:t>reserves</w:t>
        </w:r>
        <w:proofErr w:type="spellEnd"/>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to the banking system and then after a specified period of time withdraws them; reverse repos initially drain reserves and later add them back. This tool can also be used to stabilize interest rates, and the Federal Reserve has used it to adjust the</w:t>
      </w:r>
      <w:r w:rsidRPr="00D968C5">
        <w:rPr>
          <w:rStyle w:val="apple-converted-space"/>
          <w:rFonts w:ascii="Arial" w:eastAsiaTheme="majorEastAsia" w:hAnsi="Arial" w:cs="Arial"/>
          <w:color w:val="000000"/>
          <w:sz w:val="20"/>
          <w:szCs w:val="20"/>
          <w:shd w:val="clear" w:color="auto" w:fill="FFFFFF"/>
          <w:lang/>
        </w:rPr>
        <w:t> </w:t>
      </w:r>
      <w:hyperlink r:id="rId126" w:tooltip="Federal funds rate" w:history="1">
        <w:r w:rsidRPr="00D968C5">
          <w:rPr>
            <w:rStyle w:val="Hyperlink"/>
            <w:rFonts w:ascii="Arial" w:hAnsi="Arial" w:cs="Arial"/>
            <w:color w:val="0645AD"/>
            <w:sz w:val="20"/>
            <w:szCs w:val="20"/>
            <w:shd w:val="clear" w:color="auto" w:fill="FFFFFF"/>
            <w:lang/>
          </w:rPr>
          <w:t>Federal funds rate</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to match the</w:t>
      </w:r>
      <w:r w:rsidRPr="00D968C5">
        <w:rPr>
          <w:rStyle w:val="apple-converted-space"/>
          <w:rFonts w:ascii="Arial" w:eastAsiaTheme="majorEastAsia" w:hAnsi="Arial" w:cs="Arial"/>
          <w:color w:val="000000"/>
          <w:sz w:val="20"/>
          <w:szCs w:val="20"/>
          <w:shd w:val="clear" w:color="auto" w:fill="FFFFFF"/>
          <w:lang/>
        </w:rPr>
        <w:t> </w:t>
      </w:r>
      <w:hyperlink r:id="rId127" w:tooltip="Inflation targeting" w:history="1">
        <w:r w:rsidRPr="00D968C5">
          <w:rPr>
            <w:rStyle w:val="Hyperlink"/>
            <w:rFonts w:ascii="Arial" w:hAnsi="Arial" w:cs="Arial"/>
            <w:color w:val="0645AD"/>
            <w:sz w:val="20"/>
            <w:szCs w:val="20"/>
            <w:shd w:val="clear" w:color="auto" w:fill="FFFFFF"/>
            <w:lang/>
          </w:rPr>
          <w:t>target rate</w:t>
        </w:r>
      </w:hyperlink>
      <w:r w:rsidRPr="00D968C5">
        <w:rPr>
          <w:rFonts w:ascii="Arial" w:hAnsi="Arial" w:cs="Arial"/>
          <w:color w:val="000000"/>
          <w:sz w:val="20"/>
          <w:szCs w:val="20"/>
          <w:shd w:val="clear" w:color="auto" w:fill="FFFFFF"/>
          <w:lang/>
        </w:rPr>
        <w:t>.</w:t>
      </w:r>
      <w:hyperlink r:id="rId128" w:anchor="cite_note-4" w:history="1">
        <w:r w:rsidRPr="00D968C5">
          <w:rPr>
            <w:rStyle w:val="Hyperlink"/>
            <w:rFonts w:ascii="Arial" w:hAnsi="Arial" w:cs="Arial"/>
            <w:color w:val="0645AD"/>
            <w:sz w:val="20"/>
            <w:szCs w:val="20"/>
            <w:shd w:val="clear" w:color="auto" w:fill="FFFFFF"/>
            <w:vertAlign w:val="superscript"/>
            <w:lang/>
          </w:rPr>
          <w:t>[5]</w:t>
        </w:r>
      </w:hyperlink>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lastRenderedPageBreak/>
        <w:t>Under a repurchase agreement ("RP" or "repo"), the Federal Reserve (Fed) buys</w:t>
      </w:r>
      <w:r w:rsidRPr="00D968C5">
        <w:rPr>
          <w:rStyle w:val="apple-converted-space"/>
          <w:rFonts w:ascii="Arial" w:eastAsiaTheme="majorEastAsia" w:hAnsi="Arial" w:cs="Arial"/>
          <w:color w:val="000000"/>
          <w:sz w:val="20"/>
          <w:szCs w:val="20"/>
          <w:shd w:val="clear" w:color="auto" w:fill="FFFFFF"/>
          <w:lang/>
        </w:rPr>
        <w:t> </w:t>
      </w:r>
      <w:hyperlink r:id="rId129" w:tooltip="United States Treasury security" w:history="1">
        <w:r w:rsidRPr="00D968C5">
          <w:rPr>
            <w:rStyle w:val="Hyperlink"/>
            <w:rFonts w:ascii="Arial" w:hAnsi="Arial" w:cs="Arial"/>
            <w:color w:val="0645AD"/>
            <w:sz w:val="20"/>
            <w:szCs w:val="20"/>
            <w:shd w:val="clear" w:color="auto" w:fill="FFFFFF"/>
            <w:lang/>
          </w:rPr>
          <w:t>U.S. Treasury securities</w:t>
        </w:r>
      </w:hyperlink>
      <w:r w:rsidRPr="00D968C5">
        <w:rPr>
          <w:rFonts w:ascii="Arial" w:hAnsi="Arial" w:cs="Arial"/>
          <w:color w:val="000000"/>
          <w:sz w:val="20"/>
          <w:szCs w:val="20"/>
          <w:shd w:val="clear" w:color="auto" w:fill="FFFFFF"/>
          <w:lang/>
        </w:rPr>
        <w:t>, U.S.</w:t>
      </w:r>
      <w:r w:rsidRPr="00D968C5">
        <w:rPr>
          <w:rStyle w:val="apple-converted-space"/>
          <w:rFonts w:ascii="Arial" w:eastAsiaTheme="majorEastAsia" w:hAnsi="Arial" w:cs="Arial"/>
          <w:color w:val="000000"/>
          <w:sz w:val="20"/>
          <w:szCs w:val="20"/>
          <w:shd w:val="clear" w:color="auto" w:fill="FFFFFF"/>
          <w:lang/>
        </w:rPr>
        <w:t> </w:t>
      </w:r>
      <w:hyperlink r:id="rId130" w:tooltip="Agency security" w:history="1">
        <w:r w:rsidRPr="00D968C5">
          <w:rPr>
            <w:rStyle w:val="Hyperlink"/>
            <w:rFonts w:ascii="Arial" w:hAnsi="Arial" w:cs="Arial"/>
            <w:color w:val="0645AD"/>
            <w:sz w:val="20"/>
            <w:szCs w:val="20"/>
            <w:shd w:val="clear" w:color="auto" w:fill="FFFFFF"/>
            <w:lang/>
          </w:rPr>
          <w:t>agency securities</w:t>
        </w:r>
      </w:hyperlink>
      <w:r w:rsidRPr="00D968C5">
        <w:rPr>
          <w:rFonts w:ascii="Arial" w:hAnsi="Arial" w:cs="Arial"/>
          <w:color w:val="000000"/>
          <w:sz w:val="20"/>
          <w:szCs w:val="20"/>
          <w:shd w:val="clear" w:color="auto" w:fill="FFFFFF"/>
          <w:lang/>
        </w:rPr>
        <w:t xml:space="preserve">, </w:t>
      </w:r>
      <w:proofErr w:type="spellStart"/>
      <w:r w:rsidRPr="00D968C5">
        <w:rPr>
          <w:rFonts w:ascii="Arial" w:hAnsi="Arial" w:cs="Arial"/>
          <w:color w:val="000000"/>
          <w:sz w:val="20"/>
          <w:szCs w:val="20"/>
          <w:shd w:val="clear" w:color="auto" w:fill="FFFFFF"/>
          <w:lang/>
        </w:rPr>
        <w:t>or</w:t>
      </w:r>
      <w:hyperlink r:id="rId131" w:tooltip="Mortgage-backed security" w:history="1">
        <w:r w:rsidRPr="00D968C5">
          <w:rPr>
            <w:rStyle w:val="Hyperlink"/>
            <w:rFonts w:ascii="Arial" w:hAnsi="Arial" w:cs="Arial"/>
            <w:color w:val="0645AD"/>
            <w:sz w:val="20"/>
            <w:szCs w:val="20"/>
            <w:shd w:val="clear" w:color="auto" w:fill="FFFFFF"/>
            <w:lang/>
          </w:rPr>
          <w:t>mortgage</w:t>
        </w:r>
        <w:proofErr w:type="spellEnd"/>
        <w:r w:rsidRPr="00D968C5">
          <w:rPr>
            <w:rStyle w:val="Hyperlink"/>
            <w:rFonts w:ascii="Arial" w:hAnsi="Arial" w:cs="Arial"/>
            <w:color w:val="0645AD"/>
            <w:sz w:val="20"/>
            <w:szCs w:val="20"/>
            <w:shd w:val="clear" w:color="auto" w:fill="FFFFFF"/>
            <w:lang/>
          </w:rPr>
          <w:t>-backed securities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from a</w:t>
      </w:r>
      <w:r w:rsidRPr="00D968C5">
        <w:rPr>
          <w:rStyle w:val="apple-converted-space"/>
          <w:rFonts w:ascii="Arial" w:eastAsiaTheme="majorEastAsia" w:hAnsi="Arial" w:cs="Arial"/>
          <w:color w:val="000000"/>
          <w:sz w:val="20"/>
          <w:szCs w:val="20"/>
          <w:shd w:val="clear" w:color="auto" w:fill="FFFFFF"/>
          <w:lang/>
        </w:rPr>
        <w:t> </w:t>
      </w:r>
      <w:hyperlink r:id="rId132" w:tooltip="Primary dealer" w:history="1">
        <w:r w:rsidRPr="00D968C5">
          <w:rPr>
            <w:rStyle w:val="Hyperlink"/>
            <w:rFonts w:ascii="Arial" w:hAnsi="Arial" w:cs="Arial"/>
            <w:color w:val="0645AD"/>
            <w:sz w:val="20"/>
            <w:szCs w:val="20"/>
            <w:shd w:val="clear" w:color="auto" w:fill="FFFFFF"/>
            <w:lang/>
          </w:rPr>
          <w:t>primary dealer</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who agrees to buy them back, typically within one to seven days; a reverse repo is the opposite. Thus the Fed describes these transactions from the counterparty's viewpoint rather than from their own viewpoint.</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If the Federal Reserve is one of the transacting parties, the RP is called a "system repo", but if they are trading on behalf of a customer (e.g. a foreign central bank) it is called a "customer repo". Until 2003 the Fed did not use the term "reverse repo"—which it believed implied that it was borrowing money (counter to its charter)—but used the term "matched sale" instead.</w:t>
      </w:r>
    </w:p>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Risks</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While classic repos are generally credit-risk mitigated instruments, there are residual credit risks. Though it is essentially a collateralized transaction, the seller may fail to repurchase the securities sold at the maturity date. In other words, the repo seller defaults on his obligation. Consequently, the buyer may keep the security, and liquidate the security in order to recover the cash lent. The security, however, may have lost value since the outset of the transaction as the security is subject to market movements. To mitigate this risk, repos often are over-collateralized as well as being subject to daily mark-to-market margining. Conversely, if the value of the security rises there is a credit risk for the borrower in that the creditor may not sell them back. If this is expected to happen then the borrower may negotiate a repo which is under-collateralized.</w:t>
      </w:r>
      <w:r w:rsidRPr="00D968C5">
        <w:rPr>
          <w:rStyle w:val="apple-converted-space"/>
          <w:rFonts w:ascii="Arial" w:eastAsiaTheme="majorEastAsia" w:hAnsi="Arial" w:cs="Arial"/>
          <w:color w:val="000000"/>
          <w:sz w:val="20"/>
          <w:szCs w:val="20"/>
          <w:shd w:val="clear" w:color="auto" w:fill="FFFFFF"/>
          <w:lang/>
        </w:rPr>
        <w:t> </w:t>
      </w:r>
      <w:hyperlink r:id="rId133" w:anchor="cite_note-NYconv-5" w:history="1">
        <w:r w:rsidRPr="00D968C5">
          <w:rPr>
            <w:rStyle w:val="Hyperlink"/>
            <w:rFonts w:ascii="Arial" w:hAnsi="Arial" w:cs="Arial"/>
            <w:color w:val="0645AD"/>
            <w:sz w:val="20"/>
            <w:szCs w:val="20"/>
            <w:shd w:val="clear" w:color="auto" w:fill="FFFFFF"/>
            <w:vertAlign w:val="superscript"/>
            <w:lang/>
          </w:rPr>
          <w:t>[6]</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Credit risk associated with repo is subject to many factors: term of repo, liquidity of security, the strength of the counterparties involved, etc.</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Repo transactions came into focus within the financial press due to the technicalities of settlements following the collapse of</w:t>
      </w:r>
      <w:r w:rsidRPr="00D968C5">
        <w:rPr>
          <w:rStyle w:val="apple-converted-space"/>
          <w:rFonts w:ascii="Arial" w:eastAsiaTheme="majorEastAsia" w:hAnsi="Arial" w:cs="Arial"/>
          <w:color w:val="000000"/>
          <w:sz w:val="20"/>
          <w:szCs w:val="20"/>
          <w:shd w:val="clear" w:color="auto" w:fill="FFFFFF"/>
          <w:lang/>
        </w:rPr>
        <w:t> </w:t>
      </w:r>
      <w:hyperlink r:id="rId134" w:tooltip="Refco" w:history="1">
        <w:proofErr w:type="spellStart"/>
        <w:r w:rsidRPr="00D968C5">
          <w:rPr>
            <w:rStyle w:val="Hyperlink"/>
            <w:rFonts w:ascii="Arial" w:hAnsi="Arial" w:cs="Arial"/>
            <w:color w:val="0645AD"/>
            <w:sz w:val="20"/>
            <w:szCs w:val="20"/>
            <w:shd w:val="clear" w:color="auto" w:fill="FFFFFF"/>
            <w:lang/>
          </w:rPr>
          <w:t>Refco</w:t>
        </w:r>
        <w:proofErr w:type="spellEnd"/>
      </w:hyperlink>
      <w:r w:rsidRPr="00D968C5">
        <w:rPr>
          <w:rFonts w:ascii="Arial" w:hAnsi="Arial" w:cs="Arial"/>
          <w:color w:val="000000"/>
          <w:sz w:val="20"/>
          <w:szCs w:val="20"/>
          <w:shd w:val="clear" w:color="auto" w:fill="FFFFFF"/>
          <w:lang/>
        </w:rPr>
        <w:t>. Occasionally, a party involved in a repo transaction may not have a specific bond at the end of the repo contract. This may cause a string of failures from one party to the next, for as long as different parties have transacted for the same underlying instrument. The focus of the media attention centers on attempts to mitigate these failures.</w:t>
      </w:r>
    </w:p>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History</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 xml:space="preserve">In the US, Repos have been used from as early as 1917 when war time taxes made older forms of lending less attractive. At first Repos were used just by the Federal </w:t>
      </w:r>
      <w:proofErr w:type="gramStart"/>
      <w:r w:rsidRPr="00D968C5">
        <w:rPr>
          <w:rFonts w:ascii="Arial" w:hAnsi="Arial" w:cs="Arial"/>
          <w:color w:val="000000"/>
          <w:sz w:val="20"/>
          <w:szCs w:val="20"/>
          <w:shd w:val="clear" w:color="auto" w:fill="FFFFFF"/>
          <w:lang/>
        </w:rPr>
        <w:t>reserve</w:t>
      </w:r>
      <w:proofErr w:type="gramEnd"/>
      <w:r w:rsidRPr="00D968C5">
        <w:rPr>
          <w:rFonts w:ascii="Arial" w:hAnsi="Arial" w:cs="Arial"/>
          <w:color w:val="000000"/>
          <w:sz w:val="20"/>
          <w:szCs w:val="20"/>
          <w:shd w:val="clear" w:color="auto" w:fill="FFFFFF"/>
          <w:lang/>
        </w:rPr>
        <w:t xml:space="preserve"> to lend to other banks, but the practice soon spread to other market participants. The use of Repos expanded in the 1920s, fell away through the</w:t>
      </w:r>
      <w:r w:rsidRPr="00D968C5">
        <w:rPr>
          <w:rStyle w:val="apple-converted-space"/>
          <w:rFonts w:ascii="Arial" w:eastAsiaTheme="majorEastAsia" w:hAnsi="Arial" w:cs="Arial"/>
          <w:color w:val="000000"/>
          <w:sz w:val="20"/>
          <w:szCs w:val="20"/>
          <w:shd w:val="clear" w:color="auto" w:fill="FFFFFF"/>
          <w:lang/>
        </w:rPr>
        <w:t> </w:t>
      </w:r>
      <w:hyperlink r:id="rId135" w:tooltip="Great depression" w:history="1">
        <w:r w:rsidRPr="00D968C5">
          <w:rPr>
            <w:rStyle w:val="Hyperlink"/>
            <w:rFonts w:ascii="Arial" w:hAnsi="Arial" w:cs="Arial"/>
            <w:color w:val="0645AD"/>
            <w:sz w:val="20"/>
            <w:szCs w:val="20"/>
            <w:shd w:val="clear" w:color="auto" w:fill="FFFFFF"/>
            <w:lang/>
          </w:rPr>
          <w:t>Great depression</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 xml:space="preserve">and </w:t>
      </w:r>
      <w:proofErr w:type="gramStart"/>
      <w:r w:rsidRPr="00D968C5">
        <w:rPr>
          <w:rFonts w:ascii="Arial" w:hAnsi="Arial" w:cs="Arial"/>
          <w:color w:val="000000"/>
          <w:sz w:val="20"/>
          <w:szCs w:val="20"/>
          <w:shd w:val="clear" w:color="auto" w:fill="FFFFFF"/>
          <w:lang/>
        </w:rPr>
        <w:t>WWII ,</w:t>
      </w:r>
      <w:proofErr w:type="gramEnd"/>
      <w:r w:rsidRPr="00D968C5">
        <w:rPr>
          <w:rFonts w:ascii="Arial" w:hAnsi="Arial" w:cs="Arial"/>
          <w:color w:val="000000"/>
          <w:sz w:val="20"/>
          <w:szCs w:val="20"/>
          <w:shd w:val="clear" w:color="auto" w:fill="FFFFFF"/>
          <w:lang/>
        </w:rPr>
        <w:t xml:space="preserve"> then expanded once again in the 1950s, enjoying rapid growth in the 1970s and 1980s in part due to computer technology.</w:t>
      </w:r>
      <w:r w:rsidRPr="00D968C5">
        <w:rPr>
          <w:rStyle w:val="apple-converted-space"/>
          <w:rFonts w:ascii="Arial" w:eastAsiaTheme="majorEastAsia" w:hAnsi="Arial" w:cs="Arial"/>
          <w:color w:val="000000"/>
          <w:sz w:val="20"/>
          <w:szCs w:val="20"/>
          <w:shd w:val="clear" w:color="auto" w:fill="FFFFFF"/>
          <w:lang/>
        </w:rPr>
        <w:t> </w:t>
      </w:r>
      <w:hyperlink r:id="rId136" w:anchor="cite_note-NYconv-5" w:history="1">
        <w:r w:rsidRPr="00D968C5">
          <w:rPr>
            <w:rStyle w:val="Hyperlink"/>
            <w:rFonts w:ascii="Arial" w:hAnsi="Arial" w:cs="Arial"/>
            <w:color w:val="0645AD"/>
            <w:sz w:val="20"/>
            <w:szCs w:val="20"/>
            <w:shd w:val="clear" w:color="auto" w:fill="FFFFFF"/>
            <w:vertAlign w:val="superscript"/>
            <w:lang/>
          </w:rPr>
          <w:t>[6]</w:t>
        </w:r>
      </w:hyperlink>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In July 2011, concerns arose among bankers and the financial press that if the</w:t>
      </w:r>
      <w:r w:rsidRPr="00D968C5">
        <w:rPr>
          <w:rStyle w:val="apple-converted-space"/>
          <w:rFonts w:ascii="Arial" w:eastAsiaTheme="majorEastAsia" w:hAnsi="Arial" w:cs="Arial"/>
          <w:color w:val="000000"/>
          <w:sz w:val="20"/>
          <w:szCs w:val="20"/>
          <w:shd w:val="clear" w:color="auto" w:fill="FFFFFF"/>
          <w:lang/>
        </w:rPr>
        <w:t> </w:t>
      </w:r>
      <w:hyperlink r:id="rId137" w:tooltip="2011 U.S. debt ceiling crisis" w:history="1">
        <w:r w:rsidRPr="00D968C5">
          <w:rPr>
            <w:rStyle w:val="Hyperlink"/>
            <w:rFonts w:ascii="Arial" w:hAnsi="Arial" w:cs="Arial"/>
            <w:color w:val="0645AD"/>
            <w:sz w:val="20"/>
            <w:szCs w:val="20"/>
            <w:shd w:val="clear" w:color="auto" w:fill="FFFFFF"/>
            <w:lang/>
          </w:rPr>
          <w:t>2011 U.S. debt ceiling crisis</w:t>
        </w:r>
      </w:hyperlink>
      <w:r w:rsidRPr="00D968C5">
        <w:rPr>
          <w:rStyle w:val="apple-converted-space"/>
          <w:rFonts w:ascii="Arial" w:eastAsiaTheme="majorEastAsia" w:hAnsi="Arial" w:cs="Arial"/>
          <w:color w:val="000000"/>
          <w:sz w:val="20"/>
          <w:szCs w:val="20"/>
          <w:shd w:val="clear" w:color="auto" w:fill="FFFFFF"/>
          <w:lang/>
        </w:rPr>
        <w:t> </w:t>
      </w:r>
      <w:r w:rsidRPr="00D968C5">
        <w:rPr>
          <w:rFonts w:ascii="Arial" w:hAnsi="Arial" w:cs="Arial"/>
          <w:color w:val="000000"/>
          <w:sz w:val="20"/>
          <w:szCs w:val="20"/>
          <w:shd w:val="clear" w:color="auto" w:fill="FFFFFF"/>
          <w:lang/>
        </w:rPr>
        <w:t>leads to a default it could cause considerable disruption to the repo market. This is because treasuries are the most commonly used collateral within the US repo market, and as a default would downgrade the value of treasuries it could result in repo borrowers having to post far more collateral.</w:t>
      </w:r>
      <w:r w:rsidRPr="00D968C5">
        <w:rPr>
          <w:rStyle w:val="apple-converted-space"/>
          <w:rFonts w:ascii="Arial" w:eastAsiaTheme="majorEastAsia" w:hAnsi="Arial" w:cs="Arial"/>
          <w:color w:val="000000"/>
          <w:sz w:val="20"/>
          <w:szCs w:val="20"/>
          <w:shd w:val="clear" w:color="auto" w:fill="FFFFFF"/>
          <w:lang/>
        </w:rPr>
        <w:t> </w:t>
      </w:r>
      <w:hyperlink r:id="rId138" w:anchor="cite_note-6" w:history="1">
        <w:r w:rsidRPr="00D968C5">
          <w:rPr>
            <w:rStyle w:val="Hyperlink"/>
            <w:rFonts w:ascii="Arial" w:hAnsi="Arial" w:cs="Arial"/>
            <w:color w:val="0645AD"/>
            <w:sz w:val="20"/>
            <w:szCs w:val="20"/>
            <w:shd w:val="clear" w:color="auto" w:fill="FFFFFF"/>
            <w:vertAlign w:val="superscript"/>
            <w:lang/>
          </w:rPr>
          <w:t>[7]</w:t>
        </w:r>
      </w:hyperlink>
    </w:p>
    <w:p w:rsidR="00D968C5" w:rsidRPr="00D968C5" w:rsidRDefault="00D968C5" w:rsidP="00D968C5">
      <w:pPr>
        <w:pStyle w:val="Heading3"/>
        <w:spacing w:before="0" w:after="72" w:line="360" w:lineRule="atLeast"/>
        <w:rPr>
          <w:rFonts w:ascii="Arial" w:hAnsi="Arial" w:cs="Arial"/>
          <w:color w:val="000000"/>
          <w:sz w:val="20"/>
          <w:szCs w:val="20"/>
          <w:shd w:val="clear" w:color="auto" w:fill="FFFFFF"/>
          <w:lang/>
        </w:rPr>
      </w:pPr>
      <w:r w:rsidRPr="00D968C5">
        <w:rPr>
          <w:rStyle w:val="mw-headline"/>
          <w:rFonts w:ascii="Arial" w:hAnsi="Arial" w:cs="Arial"/>
          <w:color w:val="000000"/>
          <w:sz w:val="20"/>
          <w:szCs w:val="20"/>
          <w:shd w:val="clear" w:color="auto" w:fill="FFFFFF"/>
          <w:lang/>
        </w:rPr>
        <w:lastRenderedPageBreak/>
        <w:t>Market size</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US Federal Reserve and the European Repo Council (a body of the</w:t>
      </w:r>
      <w:r w:rsidRPr="00D968C5">
        <w:rPr>
          <w:rStyle w:val="apple-converted-space"/>
          <w:rFonts w:ascii="Arial" w:eastAsiaTheme="majorEastAsia" w:hAnsi="Arial" w:cs="Arial"/>
          <w:color w:val="000000"/>
          <w:sz w:val="20"/>
          <w:szCs w:val="20"/>
          <w:shd w:val="clear" w:color="auto" w:fill="FFFFFF"/>
          <w:lang/>
        </w:rPr>
        <w:t> </w:t>
      </w:r>
      <w:hyperlink r:id="rId139" w:tooltip="International Capital Market Association" w:history="1">
        <w:r w:rsidRPr="00D968C5">
          <w:rPr>
            <w:rStyle w:val="Hyperlink"/>
            <w:rFonts w:ascii="Arial" w:hAnsi="Arial" w:cs="Arial"/>
            <w:color w:val="0645AD"/>
            <w:sz w:val="20"/>
            <w:szCs w:val="20"/>
            <w:shd w:val="clear" w:color="auto" w:fill="FFFFFF"/>
            <w:lang/>
          </w:rPr>
          <w:t>International Capital Market Association</w:t>
        </w:r>
      </w:hyperlink>
      <w:r w:rsidRPr="00D968C5">
        <w:rPr>
          <w:rFonts w:ascii="Arial" w:hAnsi="Arial" w:cs="Arial"/>
          <w:color w:val="000000"/>
          <w:sz w:val="20"/>
          <w:szCs w:val="20"/>
          <w:shd w:val="clear" w:color="auto" w:fill="FFFFFF"/>
          <w:lang/>
        </w:rPr>
        <w:t>) both try to estimate the size of their respective repo markets. At the end of 2004, the U.S. repo market reached US$5 trillion.</w:t>
      </w:r>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The European repo market has experienced consistent growth over the past five years, from €1.9 billion in 2001 to €6.4 trillion by the end of 2006, and is expected to continue significant growth due to</w:t>
      </w:r>
      <w:r w:rsidRPr="00D968C5">
        <w:rPr>
          <w:rStyle w:val="apple-converted-space"/>
          <w:rFonts w:ascii="Arial" w:eastAsiaTheme="majorEastAsia" w:hAnsi="Arial" w:cs="Arial"/>
          <w:color w:val="000000"/>
          <w:sz w:val="20"/>
          <w:szCs w:val="20"/>
          <w:shd w:val="clear" w:color="auto" w:fill="FFFFFF"/>
          <w:lang/>
        </w:rPr>
        <w:t> </w:t>
      </w:r>
      <w:hyperlink r:id="rId140" w:tooltip="Basel II" w:history="1">
        <w:r w:rsidRPr="00D968C5">
          <w:rPr>
            <w:rStyle w:val="Hyperlink"/>
            <w:rFonts w:ascii="Arial" w:hAnsi="Arial" w:cs="Arial"/>
            <w:color w:val="0645AD"/>
            <w:sz w:val="20"/>
            <w:szCs w:val="20"/>
            <w:shd w:val="clear" w:color="auto" w:fill="FFFFFF"/>
            <w:lang/>
          </w:rPr>
          <w:t>Basel II</w:t>
        </w:r>
      </w:hyperlink>
      <w:r w:rsidRPr="00D968C5">
        <w:rPr>
          <w:rFonts w:ascii="Arial" w:hAnsi="Arial" w:cs="Arial"/>
          <w:color w:val="000000"/>
          <w:sz w:val="20"/>
          <w:szCs w:val="20"/>
          <w:shd w:val="clear" w:color="auto" w:fill="FFFFFF"/>
          <w:lang/>
        </w:rPr>
        <w:t xml:space="preserve">, according to a 2007 </w:t>
      </w:r>
      <w:proofErr w:type="spellStart"/>
      <w:r w:rsidRPr="00D968C5">
        <w:rPr>
          <w:rFonts w:ascii="Arial" w:hAnsi="Arial" w:cs="Arial"/>
          <w:color w:val="000000"/>
          <w:sz w:val="20"/>
          <w:szCs w:val="20"/>
          <w:shd w:val="clear" w:color="auto" w:fill="FFFFFF"/>
          <w:lang/>
        </w:rPr>
        <w:t>Celent</w:t>
      </w:r>
      <w:proofErr w:type="spellEnd"/>
      <w:r w:rsidRPr="00D968C5">
        <w:rPr>
          <w:rFonts w:ascii="Arial" w:hAnsi="Arial" w:cs="Arial"/>
          <w:color w:val="000000"/>
          <w:sz w:val="20"/>
          <w:szCs w:val="20"/>
          <w:shd w:val="clear" w:color="auto" w:fill="FFFFFF"/>
          <w:lang/>
        </w:rPr>
        <w:t xml:space="preserve"> report entitled “The European Repo Market”.</w:t>
      </w:r>
      <w:hyperlink r:id="rId141" w:anchor="cite_note-Celent-7" w:history="1">
        <w:r w:rsidRPr="00D968C5">
          <w:rPr>
            <w:rStyle w:val="Hyperlink"/>
            <w:rFonts w:ascii="Arial" w:hAnsi="Arial" w:cs="Arial"/>
            <w:color w:val="0645AD"/>
            <w:sz w:val="20"/>
            <w:szCs w:val="20"/>
            <w:shd w:val="clear" w:color="auto" w:fill="FFFFFF"/>
            <w:vertAlign w:val="superscript"/>
            <w:lang/>
          </w:rPr>
          <w:t>[8]</w:t>
        </w:r>
      </w:hyperlink>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Especially in the US and to a lesser degree in Europe, the repo market contracted in 2008 as a result of the</w:t>
      </w:r>
      <w:r w:rsidRPr="00D968C5">
        <w:rPr>
          <w:rStyle w:val="apple-converted-space"/>
          <w:rFonts w:ascii="Arial" w:eastAsiaTheme="majorEastAsia" w:hAnsi="Arial" w:cs="Arial"/>
          <w:color w:val="000000"/>
          <w:sz w:val="20"/>
          <w:szCs w:val="20"/>
          <w:shd w:val="clear" w:color="auto" w:fill="FFFFFF"/>
          <w:lang/>
        </w:rPr>
        <w:t> </w:t>
      </w:r>
      <w:hyperlink r:id="rId142" w:tooltip="Financial crisis of 2007–2010" w:history="1">
        <w:r w:rsidRPr="00D968C5">
          <w:rPr>
            <w:rStyle w:val="Hyperlink"/>
            <w:rFonts w:ascii="Arial" w:hAnsi="Arial" w:cs="Arial"/>
            <w:color w:val="0645AD"/>
            <w:sz w:val="20"/>
            <w:szCs w:val="20"/>
            <w:shd w:val="clear" w:color="auto" w:fill="FFFFFF"/>
            <w:lang/>
          </w:rPr>
          <w:t>financial crisis</w:t>
        </w:r>
      </w:hyperlink>
      <w:r w:rsidRPr="00D968C5">
        <w:rPr>
          <w:rFonts w:ascii="Arial" w:hAnsi="Arial" w:cs="Arial"/>
          <w:color w:val="000000"/>
          <w:sz w:val="20"/>
          <w:szCs w:val="20"/>
          <w:shd w:val="clear" w:color="auto" w:fill="FFFFFF"/>
          <w:lang/>
        </w:rPr>
        <w:t>. But by mid 2010 the market had largely recovered and at least in Europe had grown to exceed its pre-crisis peak.</w:t>
      </w:r>
      <w:r w:rsidRPr="00D968C5">
        <w:rPr>
          <w:rStyle w:val="apple-converted-space"/>
          <w:rFonts w:ascii="Arial" w:eastAsiaTheme="majorEastAsia" w:hAnsi="Arial" w:cs="Arial"/>
          <w:color w:val="000000"/>
          <w:sz w:val="20"/>
          <w:szCs w:val="20"/>
          <w:shd w:val="clear" w:color="auto" w:fill="FFFFFF"/>
          <w:lang/>
        </w:rPr>
        <w:t> </w:t>
      </w:r>
      <w:hyperlink r:id="rId143" w:anchor="cite_note-Gillian-0" w:history="1">
        <w:r w:rsidRPr="00D968C5">
          <w:rPr>
            <w:rStyle w:val="Hyperlink"/>
            <w:rFonts w:ascii="Arial" w:hAnsi="Arial" w:cs="Arial"/>
            <w:color w:val="0645AD"/>
            <w:sz w:val="20"/>
            <w:szCs w:val="20"/>
            <w:shd w:val="clear" w:color="auto" w:fill="FFFFFF"/>
            <w:vertAlign w:val="superscript"/>
            <w:lang/>
          </w:rPr>
          <w:t>[1]</w:t>
        </w:r>
      </w:hyperlink>
    </w:p>
    <w:p w:rsidR="00D968C5" w:rsidRPr="00D968C5" w:rsidRDefault="00D968C5" w:rsidP="00D968C5">
      <w:pPr>
        <w:pStyle w:val="NormalWeb"/>
        <w:spacing w:before="96" w:beforeAutospacing="0" w:after="120" w:afterAutospacing="0" w:line="360" w:lineRule="atLeast"/>
        <w:rPr>
          <w:rFonts w:ascii="Arial" w:hAnsi="Arial" w:cs="Arial"/>
          <w:color w:val="000000"/>
          <w:sz w:val="20"/>
          <w:szCs w:val="20"/>
          <w:shd w:val="clear" w:color="auto" w:fill="FFFFFF"/>
          <w:lang/>
        </w:rPr>
      </w:pPr>
      <w:r w:rsidRPr="00D968C5">
        <w:rPr>
          <w:rFonts w:ascii="Arial" w:hAnsi="Arial" w:cs="Arial"/>
          <w:color w:val="000000"/>
          <w:sz w:val="20"/>
          <w:szCs w:val="20"/>
          <w:shd w:val="clear" w:color="auto" w:fill="FFFFFF"/>
          <w:lang/>
        </w:rPr>
        <w:t>Other countries including Chile, India, Japan, Mexico, Hungary, Russia, China, and Taiwan, have their own repo markets, though activity varies by country, and no global survey or report has been compiled.</w:t>
      </w:r>
    </w:p>
    <w:p w:rsidR="00D968C5" w:rsidRPr="00D968C5" w:rsidRDefault="00D968C5" w:rsidP="00D968C5">
      <w:pPr>
        <w:pStyle w:val="Heading2"/>
        <w:pBdr>
          <w:bottom w:val="single" w:sz="6" w:space="2" w:color="AAAAAA"/>
        </w:pBdr>
        <w:spacing w:before="0" w:after="144" w:line="360" w:lineRule="atLeast"/>
        <w:rPr>
          <w:rFonts w:ascii="Arial" w:hAnsi="Arial" w:cs="Arial"/>
          <w:b w:val="0"/>
          <w:bCs w:val="0"/>
          <w:color w:val="000000"/>
          <w:sz w:val="20"/>
          <w:szCs w:val="20"/>
          <w:shd w:val="clear" w:color="auto" w:fill="FFFFFF"/>
          <w:lang/>
        </w:rPr>
      </w:pPr>
      <w:r w:rsidRPr="00D968C5">
        <w:rPr>
          <w:rStyle w:val="mw-headline"/>
          <w:rFonts w:ascii="Arial" w:hAnsi="Arial" w:cs="Arial"/>
          <w:b w:val="0"/>
          <w:bCs w:val="0"/>
          <w:color w:val="000000"/>
          <w:sz w:val="20"/>
          <w:szCs w:val="20"/>
          <w:shd w:val="clear" w:color="auto" w:fill="FFFFFF"/>
          <w:lang/>
        </w:rPr>
        <w:t>See also</w:t>
      </w:r>
    </w:p>
    <w:p w:rsidR="00D968C5" w:rsidRPr="00D968C5" w:rsidRDefault="00D968C5">
      <w:pPr>
        <w:rPr>
          <w:rFonts w:ascii="Arial" w:hAnsi="Arial" w:cs="Arial"/>
          <w:sz w:val="20"/>
          <w:szCs w:val="20"/>
        </w:rPr>
      </w:pPr>
    </w:p>
    <w:sectPr w:rsidR="00D968C5" w:rsidRPr="00D968C5" w:rsidSect="00D968C5">
      <w:pgSz w:w="12240" w:h="15840"/>
      <w:pgMar w:top="720" w:right="900" w:bottom="10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52"/>
    <w:multiLevelType w:val="hybridMultilevel"/>
    <w:tmpl w:val="8F38B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31F23"/>
    <w:multiLevelType w:val="multilevel"/>
    <w:tmpl w:val="63541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C2E5A"/>
    <w:multiLevelType w:val="multilevel"/>
    <w:tmpl w:val="015E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54386"/>
    <w:multiLevelType w:val="hybridMultilevel"/>
    <w:tmpl w:val="80D295E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C1FF5"/>
    <w:multiLevelType w:val="hybridMultilevel"/>
    <w:tmpl w:val="73F63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F150B"/>
    <w:multiLevelType w:val="hybridMultilevel"/>
    <w:tmpl w:val="E7B4A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4F6155"/>
    <w:multiLevelType w:val="hybridMultilevel"/>
    <w:tmpl w:val="701A07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3E3"/>
    <w:rsid w:val="001D63E3"/>
    <w:rsid w:val="0026333F"/>
    <w:rsid w:val="00D9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63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68C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D63E3"/>
    <w:pPr>
      <w:keepNext/>
      <w:jc w:val="center"/>
      <w:outlineLvl w:val="5"/>
    </w:pPr>
    <w:rPr>
      <w:rFonts w:ascii="Arial" w:hAnsi="Arial" w:cs="Arial"/>
      <w:b/>
      <w:bCs/>
      <w:szCs w:val="22"/>
      <w:u w:val="single"/>
    </w:rPr>
  </w:style>
  <w:style w:type="paragraph" w:styleId="Heading7">
    <w:name w:val="heading 7"/>
    <w:basedOn w:val="Normal"/>
    <w:next w:val="Normal"/>
    <w:link w:val="Heading7Char"/>
    <w:qFormat/>
    <w:rsid w:val="001D63E3"/>
    <w:pPr>
      <w:keepNext/>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D63E3"/>
    <w:rPr>
      <w:rFonts w:ascii="Arial" w:eastAsia="Times New Roman" w:hAnsi="Arial" w:cs="Arial"/>
      <w:b/>
      <w:bCs/>
      <w:sz w:val="24"/>
      <w:u w:val="single"/>
    </w:rPr>
  </w:style>
  <w:style w:type="character" w:customStyle="1" w:styleId="Heading7Char">
    <w:name w:val="Heading 7 Char"/>
    <w:basedOn w:val="DefaultParagraphFont"/>
    <w:link w:val="Heading7"/>
    <w:rsid w:val="001D63E3"/>
    <w:rPr>
      <w:rFonts w:ascii="Arial" w:eastAsia="Times New Roman" w:hAnsi="Arial" w:cs="Arial"/>
      <w:b/>
      <w:bCs/>
      <w:sz w:val="24"/>
      <w:szCs w:val="24"/>
      <w:u w:val="single"/>
    </w:rPr>
  </w:style>
  <w:style w:type="character" w:customStyle="1" w:styleId="Heading1Char">
    <w:name w:val="Heading 1 Char"/>
    <w:basedOn w:val="DefaultParagraphFont"/>
    <w:link w:val="Heading1"/>
    <w:uiPriority w:val="9"/>
    <w:rsid w:val="001D63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63E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D63E3"/>
  </w:style>
  <w:style w:type="character" w:styleId="Hyperlink">
    <w:name w:val="Hyperlink"/>
    <w:basedOn w:val="DefaultParagraphFont"/>
    <w:uiPriority w:val="99"/>
    <w:semiHidden/>
    <w:unhideWhenUsed/>
    <w:rsid w:val="001D63E3"/>
    <w:rPr>
      <w:color w:val="0000FF"/>
      <w:u w:val="single"/>
    </w:rPr>
  </w:style>
  <w:style w:type="paragraph" w:styleId="NormalWeb">
    <w:name w:val="Normal (Web)"/>
    <w:basedOn w:val="Normal"/>
    <w:uiPriority w:val="99"/>
    <w:semiHidden/>
    <w:unhideWhenUsed/>
    <w:rsid w:val="001D63E3"/>
    <w:pPr>
      <w:spacing w:before="100" w:beforeAutospacing="1" w:after="100" w:afterAutospacing="1"/>
    </w:pPr>
  </w:style>
  <w:style w:type="character" w:customStyle="1" w:styleId="editsection">
    <w:name w:val="editsection"/>
    <w:basedOn w:val="DefaultParagraphFont"/>
    <w:rsid w:val="001D63E3"/>
  </w:style>
  <w:style w:type="character" w:customStyle="1" w:styleId="mw-headline">
    <w:name w:val="mw-headline"/>
    <w:basedOn w:val="DefaultParagraphFont"/>
    <w:rsid w:val="001D63E3"/>
  </w:style>
  <w:style w:type="character" w:customStyle="1" w:styleId="citation">
    <w:name w:val="citation"/>
    <w:basedOn w:val="DefaultParagraphFont"/>
    <w:rsid w:val="001D63E3"/>
  </w:style>
  <w:style w:type="character" w:customStyle="1" w:styleId="collapsebutton">
    <w:name w:val="collapsebutton"/>
    <w:basedOn w:val="DefaultParagraphFont"/>
    <w:rsid w:val="001D63E3"/>
  </w:style>
  <w:style w:type="character" w:customStyle="1" w:styleId="noprint">
    <w:name w:val="noprint"/>
    <w:basedOn w:val="DefaultParagraphFont"/>
    <w:rsid w:val="001D63E3"/>
  </w:style>
  <w:style w:type="character" w:customStyle="1" w:styleId="Heading3Char">
    <w:name w:val="Heading 3 Char"/>
    <w:basedOn w:val="DefaultParagraphFont"/>
    <w:link w:val="Heading3"/>
    <w:uiPriority w:val="9"/>
    <w:semiHidden/>
    <w:rsid w:val="00D968C5"/>
    <w:rPr>
      <w:rFonts w:asciiTheme="majorHAnsi" w:eastAsiaTheme="majorEastAsia" w:hAnsiTheme="majorHAnsi" w:cstheme="majorBidi"/>
      <w:b/>
      <w:bCs/>
      <w:color w:val="4F81BD" w:themeColor="accent1"/>
      <w:sz w:val="24"/>
      <w:szCs w:val="24"/>
    </w:rPr>
  </w:style>
  <w:style w:type="character" w:customStyle="1" w:styleId="toctoggle">
    <w:name w:val="toctoggle"/>
    <w:basedOn w:val="DefaultParagraphFont"/>
    <w:rsid w:val="00D968C5"/>
  </w:style>
  <w:style w:type="character" w:customStyle="1" w:styleId="tocnumber">
    <w:name w:val="tocnumber"/>
    <w:basedOn w:val="DefaultParagraphFont"/>
    <w:rsid w:val="00D968C5"/>
  </w:style>
  <w:style w:type="character" w:customStyle="1" w:styleId="toctext">
    <w:name w:val="toctext"/>
    <w:basedOn w:val="DefaultParagraphFont"/>
    <w:rsid w:val="00D968C5"/>
  </w:style>
</w:styles>
</file>

<file path=word/webSettings.xml><?xml version="1.0" encoding="utf-8"?>
<w:webSettings xmlns:r="http://schemas.openxmlformats.org/officeDocument/2006/relationships" xmlns:w="http://schemas.openxmlformats.org/wordprocessingml/2006/main">
  <w:divs>
    <w:div w:id="229536922">
      <w:bodyDiv w:val="1"/>
      <w:marLeft w:val="0"/>
      <w:marRight w:val="0"/>
      <w:marTop w:val="0"/>
      <w:marBottom w:val="0"/>
      <w:divBdr>
        <w:top w:val="none" w:sz="0" w:space="0" w:color="auto"/>
        <w:left w:val="none" w:sz="0" w:space="0" w:color="auto"/>
        <w:bottom w:val="none" w:sz="0" w:space="0" w:color="auto"/>
        <w:right w:val="none" w:sz="0" w:space="0" w:color="auto"/>
      </w:divBdr>
      <w:divsChild>
        <w:div w:id="1791045132">
          <w:marLeft w:val="0"/>
          <w:marRight w:val="0"/>
          <w:marTop w:val="0"/>
          <w:marBottom w:val="0"/>
          <w:divBdr>
            <w:top w:val="none" w:sz="0" w:space="0" w:color="auto"/>
            <w:left w:val="none" w:sz="0" w:space="0" w:color="auto"/>
            <w:bottom w:val="none" w:sz="0" w:space="0" w:color="auto"/>
            <w:right w:val="none" w:sz="0" w:space="0" w:color="auto"/>
          </w:divBdr>
          <w:divsChild>
            <w:div w:id="1770000988">
              <w:marLeft w:val="0"/>
              <w:marRight w:val="0"/>
              <w:marTop w:val="0"/>
              <w:marBottom w:val="0"/>
              <w:divBdr>
                <w:top w:val="none" w:sz="0" w:space="0" w:color="auto"/>
                <w:left w:val="none" w:sz="0" w:space="0" w:color="auto"/>
                <w:bottom w:val="none" w:sz="0" w:space="0" w:color="auto"/>
                <w:right w:val="none" w:sz="0" w:space="0" w:color="auto"/>
              </w:divBdr>
            </w:div>
            <w:div w:id="458186675">
              <w:marLeft w:val="0"/>
              <w:marRight w:val="0"/>
              <w:marTop w:val="0"/>
              <w:marBottom w:val="0"/>
              <w:divBdr>
                <w:top w:val="none" w:sz="0" w:space="0" w:color="auto"/>
                <w:left w:val="none" w:sz="0" w:space="0" w:color="auto"/>
                <w:bottom w:val="none" w:sz="0" w:space="0" w:color="auto"/>
                <w:right w:val="none" w:sz="0" w:space="0" w:color="auto"/>
              </w:divBdr>
              <w:divsChild>
                <w:div w:id="1844707485">
                  <w:marLeft w:val="0"/>
                  <w:marRight w:val="0"/>
                  <w:marTop w:val="0"/>
                  <w:marBottom w:val="120"/>
                  <w:divBdr>
                    <w:top w:val="none" w:sz="0" w:space="0" w:color="auto"/>
                    <w:left w:val="none" w:sz="0" w:space="0" w:color="auto"/>
                    <w:bottom w:val="none" w:sz="0" w:space="0" w:color="auto"/>
                    <w:right w:val="none" w:sz="0" w:space="0" w:color="auto"/>
                  </w:divBdr>
                </w:div>
                <w:div w:id="963467604">
                  <w:marLeft w:val="0"/>
                  <w:marRight w:val="0"/>
                  <w:marTop w:val="0"/>
                  <w:marBottom w:val="0"/>
                  <w:divBdr>
                    <w:top w:val="none" w:sz="0" w:space="0" w:color="auto"/>
                    <w:left w:val="none" w:sz="0" w:space="0" w:color="auto"/>
                    <w:bottom w:val="none" w:sz="0" w:space="0" w:color="auto"/>
                    <w:right w:val="none" w:sz="0" w:space="0" w:color="auto"/>
                  </w:divBdr>
                </w:div>
                <w:div w:id="389424630">
                  <w:marLeft w:val="0"/>
                  <w:marRight w:val="0"/>
                  <w:marTop w:val="0"/>
                  <w:marBottom w:val="0"/>
                  <w:divBdr>
                    <w:top w:val="none" w:sz="0" w:space="0" w:color="auto"/>
                    <w:left w:val="none" w:sz="0" w:space="0" w:color="auto"/>
                    <w:bottom w:val="none" w:sz="0" w:space="0" w:color="auto"/>
                    <w:right w:val="none" w:sz="0" w:space="0" w:color="auto"/>
                  </w:divBdr>
                </w:div>
                <w:div w:id="1883637108">
                  <w:marLeft w:val="0"/>
                  <w:marRight w:val="0"/>
                  <w:marTop w:val="0"/>
                  <w:marBottom w:val="0"/>
                  <w:divBdr>
                    <w:top w:val="none" w:sz="0" w:space="0" w:color="auto"/>
                    <w:left w:val="none" w:sz="0" w:space="0" w:color="auto"/>
                    <w:bottom w:val="none" w:sz="0" w:space="0" w:color="auto"/>
                    <w:right w:val="none" w:sz="0" w:space="0" w:color="auto"/>
                  </w:divBdr>
                </w:div>
                <w:div w:id="1069114729">
                  <w:marLeft w:val="0"/>
                  <w:marRight w:val="0"/>
                  <w:marTop w:val="0"/>
                  <w:marBottom w:val="0"/>
                  <w:divBdr>
                    <w:top w:val="none" w:sz="0" w:space="0" w:color="auto"/>
                    <w:left w:val="none" w:sz="0" w:space="0" w:color="auto"/>
                    <w:bottom w:val="none" w:sz="0" w:space="0" w:color="auto"/>
                    <w:right w:val="none" w:sz="0" w:space="0" w:color="auto"/>
                  </w:divBdr>
                </w:div>
                <w:div w:id="216672827">
                  <w:marLeft w:val="0"/>
                  <w:marRight w:val="0"/>
                  <w:marTop w:val="0"/>
                  <w:marBottom w:val="0"/>
                  <w:divBdr>
                    <w:top w:val="none" w:sz="0" w:space="0" w:color="auto"/>
                    <w:left w:val="none" w:sz="0" w:space="0" w:color="auto"/>
                    <w:bottom w:val="none" w:sz="0" w:space="0" w:color="auto"/>
                    <w:right w:val="none" w:sz="0" w:space="0" w:color="auto"/>
                  </w:divBdr>
                </w:div>
                <w:div w:id="1088425945">
                  <w:marLeft w:val="0"/>
                  <w:marRight w:val="0"/>
                  <w:marTop w:val="0"/>
                  <w:marBottom w:val="0"/>
                  <w:divBdr>
                    <w:top w:val="none" w:sz="0" w:space="0" w:color="auto"/>
                    <w:left w:val="none" w:sz="0" w:space="0" w:color="auto"/>
                    <w:bottom w:val="none" w:sz="0" w:space="0" w:color="auto"/>
                    <w:right w:val="none" w:sz="0" w:space="0" w:color="auto"/>
                  </w:divBdr>
                </w:div>
                <w:div w:id="19249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9917">
      <w:bodyDiv w:val="1"/>
      <w:marLeft w:val="0"/>
      <w:marRight w:val="0"/>
      <w:marTop w:val="0"/>
      <w:marBottom w:val="0"/>
      <w:divBdr>
        <w:top w:val="none" w:sz="0" w:space="0" w:color="auto"/>
        <w:left w:val="none" w:sz="0" w:space="0" w:color="auto"/>
        <w:bottom w:val="none" w:sz="0" w:space="0" w:color="auto"/>
        <w:right w:val="none" w:sz="0" w:space="0" w:color="auto"/>
      </w:divBdr>
      <w:divsChild>
        <w:div w:id="562372102">
          <w:marLeft w:val="0"/>
          <w:marRight w:val="0"/>
          <w:marTop w:val="0"/>
          <w:marBottom w:val="0"/>
          <w:divBdr>
            <w:top w:val="none" w:sz="0" w:space="0" w:color="auto"/>
            <w:left w:val="none" w:sz="0" w:space="0" w:color="auto"/>
            <w:bottom w:val="none" w:sz="0" w:space="0" w:color="auto"/>
            <w:right w:val="none" w:sz="0" w:space="0" w:color="auto"/>
          </w:divBdr>
          <w:divsChild>
            <w:div w:id="1580168558">
              <w:marLeft w:val="0"/>
              <w:marRight w:val="0"/>
              <w:marTop w:val="0"/>
              <w:marBottom w:val="0"/>
              <w:divBdr>
                <w:top w:val="none" w:sz="0" w:space="0" w:color="auto"/>
                <w:left w:val="none" w:sz="0" w:space="0" w:color="auto"/>
                <w:bottom w:val="none" w:sz="0" w:space="0" w:color="auto"/>
                <w:right w:val="none" w:sz="0" w:space="0" w:color="auto"/>
              </w:divBdr>
            </w:div>
            <w:div w:id="1724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urobond" TargetMode="External"/><Relationship Id="rId117" Type="http://schemas.openxmlformats.org/officeDocument/2006/relationships/hyperlink" Target="http://en.wikipedia.org/wiki/Repurchase_agreement" TargetMode="External"/><Relationship Id="rId21" Type="http://schemas.openxmlformats.org/officeDocument/2006/relationships/hyperlink" Target="http://en.wikipedia.org/wiki/Euroclear" TargetMode="External"/><Relationship Id="rId42" Type="http://schemas.openxmlformats.org/officeDocument/2006/relationships/hyperlink" Target="http://en.wikipedia.org/wiki/Government_bond" TargetMode="External"/><Relationship Id="rId47" Type="http://schemas.openxmlformats.org/officeDocument/2006/relationships/hyperlink" Target="http://en.wikipedia.org/wiki/Callable_bond" TargetMode="External"/><Relationship Id="rId63" Type="http://schemas.openxmlformats.org/officeDocument/2006/relationships/hyperlink" Target="http://en.wikipedia.org/wiki/Coupon_(bond)" TargetMode="External"/><Relationship Id="rId68" Type="http://schemas.openxmlformats.org/officeDocument/2006/relationships/hyperlink" Target="http://en.wikipedia.org/wiki/Bond_duration" TargetMode="External"/><Relationship Id="rId84" Type="http://schemas.openxmlformats.org/officeDocument/2006/relationships/hyperlink" Target="http://en.wikipedia.org/wiki/Exchangeable_bond" TargetMode="External"/><Relationship Id="rId89" Type="http://schemas.openxmlformats.org/officeDocument/2006/relationships/hyperlink" Target="http://en.wikipedia.org/wiki/ICMA" TargetMode="External"/><Relationship Id="rId112" Type="http://schemas.openxmlformats.org/officeDocument/2006/relationships/hyperlink" Target="http://en.wikipedia.org/wiki/Repurchase_agreement" TargetMode="External"/><Relationship Id="rId133" Type="http://schemas.openxmlformats.org/officeDocument/2006/relationships/hyperlink" Target="http://en.wikipedia.org/wiki/Repurchase_agreement" TargetMode="External"/><Relationship Id="rId138" Type="http://schemas.openxmlformats.org/officeDocument/2006/relationships/hyperlink" Target="http://en.wikipedia.org/wiki/Repurchase_agreement" TargetMode="External"/><Relationship Id="rId16" Type="http://schemas.openxmlformats.org/officeDocument/2006/relationships/hyperlink" Target="http://en.wikipedia.org/wiki/Autostrade_of_Italy" TargetMode="External"/><Relationship Id="rId107" Type="http://schemas.openxmlformats.org/officeDocument/2006/relationships/hyperlink" Target="http://en.wikipedia.org/wiki/Mark-to-market" TargetMode="External"/><Relationship Id="rId11" Type="http://schemas.openxmlformats.org/officeDocument/2006/relationships/hyperlink" Target="http://en.wikipedia.org/wiki/Eurodollar" TargetMode="External"/><Relationship Id="rId32" Type="http://schemas.openxmlformats.org/officeDocument/2006/relationships/hyperlink" Target="http://en.wikipedia.org/wiki/Bond_market" TargetMode="External"/><Relationship Id="rId37" Type="http://schemas.openxmlformats.org/officeDocument/2006/relationships/hyperlink" Target="http://en.wikipedia.org/wiki/Corporate_bond" TargetMode="External"/><Relationship Id="rId53" Type="http://schemas.openxmlformats.org/officeDocument/2006/relationships/hyperlink" Target="http://en.wikipedia.org/wiki/Floating_rate_note" TargetMode="External"/><Relationship Id="rId58" Type="http://schemas.openxmlformats.org/officeDocument/2006/relationships/hyperlink" Target="http://en.wikipedia.org/wiki/Reverse_convertible" TargetMode="External"/><Relationship Id="rId74" Type="http://schemas.openxmlformats.org/officeDocument/2006/relationships/hyperlink" Target="http://en.wikipedia.org/wiki/Asset-backed_security" TargetMode="External"/><Relationship Id="rId79" Type="http://schemas.openxmlformats.org/officeDocument/2006/relationships/hyperlink" Target="http://en.wikipedia.org/wiki/Z-spread" TargetMode="External"/><Relationship Id="rId102" Type="http://schemas.openxmlformats.org/officeDocument/2006/relationships/hyperlink" Target="http://en.wikipedia.org/wiki/Secured_loan" TargetMode="External"/><Relationship Id="rId123" Type="http://schemas.openxmlformats.org/officeDocument/2006/relationships/hyperlink" Target="http://en.wikipedia.org/wiki/Federal_Reserve_System" TargetMode="External"/><Relationship Id="rId128" Type="http://schemas.openxmlformats.org/officeDocument/2006/relationships/hyperlink" Target="http://en.wikipedia.org/wiki/Repurchase_agreement" TargetMode="External"/><Relationship Id="rId144" Type="http://schemas.openxmlformats.org/officeDocument/2006/relationships/fontTable" Target="fontTable.xml"/><Relationship Id="rId5" Type="http://schemas.openxmlformats.org/officeDocument/2006/relationships/hyperlink" Target="http://en.wikipedia.org/w/index.php?title=Eurobond_(eurozone)&amp;action=edit&amp;redlink=1" TargetMode="External"/><Relationship Id="rId90" Type="http://schemas.openxmlformats.org/officeDocument/2006/relationships/hyperlink" Target="http://en.wikipedia.org/wiki/SIFMA" TargetMode="External"/><Relationship Id="rId95" Type="http://schemas.openxmlformats.org/officeDocument/2006/relationships/hyperlink" Target="http://en.wikipedia.org/wiki/Loan" TargetMode="External"/><Relationship Id="rId22" Type="http://schemas.openxmlformats.org/officeDocument/2006/relationships/hyperlink" Target="http://en.wikipedia.org/wiki/Clearstream" TargetMode="External"/><Relationship Id="rId27" Type="http://schemas.openxmlformats.org/officeDocument/2006/relationships/hyperlink" Target="http://en.wikipedia.org/wiki/Eurobond" TargetMode="External"/><Relationship Id="rId43" Type="http://schemas.openxmlformats.org/officeDocument/2006/relationships/hyperlink" Target="http://en.wikipedia.org/wiki/Municipal_bond" TargetMode="External"/><Relationship Id="rId48" Type="http://schemas.openxmlformats.org/officeDocument/2006/relationships/hyperlink" Target="http://en.wikipedia.org/wiki/Commercial_paper" TargetMode="External"/><Relationship Id="rId64" Type="http://schemas.openxmlformats.org/officeDocument/2006/relationships/hyperlink" Target="http://en.wikipedia.org/wiki/Nominal_yield" TargetMode="External"/><Relationship Id="rId69" Type="http://schemas.openxmlformats.org/officeDocument/2006/relationships/hyperlink" Target="http://en.wikipedia.org/wiki/I-spread" TargetMode="External"/><Relationship Id="rId113" Type="http://schemas.openxmlformats.org/officeDocument/2006/relationships/hyperlink" Target="http://en.wikipedia.org/wiki/Counterparty" TargetMode="External"/><Relationship Id="rId118" Type="http://schemas.openxmlformats.org/officeDocument/2006/relationships/hyperlink" Target="http://en.wikipedia.org/wiki/Market_liquidity" TargetMode="External"/><Relationship Id="rId134" Type="http://schemas.openxmlformats.org/officeDocument/2006/relationships/hyperlink" Target="http://en.wikipedia.org/wiki/Refco" TargetMode="External"/><Relationship Id="rId139" Type="http://schemas.openxmlformats.org/officeDocument/2006/relationships/hyperlink" Target="http://en.wikipedia.org/wiki/International_Capital_Market_Association" TargetMode="External"/><Relationship Id="rId80" Type="http://schemas.openxmlformats.org/officeDocument/2006/relationships/hyperlink" Target="http://en.wikipedia.org/wiki/Bond_option" TargetMode="External"/><Relationship Id="rId85" Type="http://schemas.openxmlformats.org/officeDocument/2006/relationships/hyperlink" Target="http://en.wikipedia.org/wiki/Extendible_bond" TargetMode="External"/><Relationship Id="rId3" Type="http://schemas.openxmlformats.org/officeDocument/2006/relationships/settings" Target="settings.xml"/><Relationship Id="rId12" Type="http://schemas.openxmlformats.org/officeDocument/2006/relationships/hyperlink" Target="http://en.wikipedia.org/wiki/Yen" TargetMode="External"/><Relationship Id="rId17" Type="http://schemas.openxmlformats.org/officeDocument/2006/relationships/hyperlink" Target="http://en.wikipedia.org/wiki/Eurobond" TargetMode="External"/><Relationship Id="rId25" Type="http://schemas.openxmlformats.org/officeDocument/2006/relationships/hyperlink" Target="http://www.autostrade.it/en/chi-siamo/storia_index.html?initPos=1" TargetMode="External"/><Relationship Id="rId33" Type="http://schemas.openxmlformats.org/officeDocument/2006/relationships/hyperlink" Target="http://en.wikipedia.org/wiki/Bond_(finance)" TargetMode="External"/><Relationship Id="rId38" Type="http://schemas.openxmlformats.org/officeDocument/2006/relationships/hyperlink" Target="http://en.wikipedia.org/wiki/Senior_debt" TargetMode="External"/><Relationship Id="rId46" Type="http://schemas.openxmlformats.org/officeDocument/2006/relationships/hyperlink" Target="http://en.wikipedia.org/wiki/Auction_rate_security" TargetMode="External"/><Relationship Id="rId59" Type="http://schemas.openxmlformats.org/officeDocument/2006/relationships/hyperlink" Target="http://en.wikipedia.org/wiki/Zero-coupon_bond" TargetMode="External"/><Relationship Id="rId67" Type="http://schemas.openxmlformats.org/officeDocument/2006/relationships/hyperlink" Target="http://en.wikipedia.org/wiki/Dirty_price" TargetMode="External"/><Relationship Id="rId103" Type="http://schemas.openxmlformats.org/officeDocument/2006/relationships/hyperlink" Target="http://en.wikipedia.org/wiki/Collateral_(finance)" TargetMode="External"/><Relationship Id="rId108" Type="http://schemas.openxmlformats.org/officeDocument/2006/relationships/hyperlink" Target="http://en.wikipedia.org/wiki/The_Bank_of_New_York_Mellon" TargetMode="External"/><Relationship Id="rId116" Type="http://schemas.openxmlformats.org/officeDocument/2006/relationships/hyperlink" Target="http://en.wikipedia.org/wiki/Short_position" TargetMode="External"/><Relationship Id="rId124" Type="http://schemas.openxmlformats.org/officeDocument/2006/relationships/hyperlink" Target="http://en.wikipedia.org/wiki/Open_market_operations" TargetMode="External"/><Relationship Id="rId129" Type="http://schemas.openxmlformats.org/officeDocument/2006/relationships/hyperlink" Target="http://en.wikipedia.org/wiki/United_States_Treasury_security" TargetMode="External"/><Relationship Id="rId137" Type="http://schemas.openxmlformats.org/officeDocument/2006/relationships/hyperlink" Target="http://en.wikipedia.org/wiki/2011_U.S._debt_ceiling_crisis" TargetMode="External"/><Relationship Id="rId20" Type="http://schemas.openxmlformats.org/officeDocument/2006/relationships/hyperlink" Target="http://en.wikipedia.org/wiki/Eurobond" TargetMode="External"/><Relationship Id="rId41" Type="http://schemas.openxmlformats.org/officeDocument/2006/relationships/hyperlink" Target="http://en.wikipedia.org/wiki/Emerging_market_debt" TargetMode="External"/><Relationship Id="rId54" Type="http://schemas.openxmlformats.org/officeDocument/2006/relationships/hyperlink" Target="http://en.wikipedia.org/wiki/High-yield_debt" TargetMode="External"/><Relationship Id="rId62" Type="http://schemas.openxmlformats.org/officeDocument/2006/relationships/hyperlink" Target="http://en.wikipedia.org/wiki/Bond_convexity" TargetMode="External"/><Relationship Id="rId70" Type="http://schemas.openxmlformats.org/officeDocument/2006/relationships/hyperlink" Target="http://en.wikipedia.org/wiki/Mortgage_yield" TargetMode="External"/><Relationship Id="rId75" Type="http://schemas.openxmlformats.org/officeDocument/2006/relationships/hyperlink" Target="http://en.wikipedia.org/wiki/Collateralized_debt_obligation" TargetMode="External"/><Relationship Id="rId83" Type="http://schemas.openxmlformats.org/officeDocument/2006/relationships/hyperlink" Target="http://en.wikipedia.org/wiki/Embedded_option" TargetMode="External"/><Relationship Id="rId88" Type="http://schemas.openxmlformats.org/officeDocument/2006/relationships/hyperlink" Target="http://en.wikipedia.org/wiki/Commercial_Mortgage_Securities_Association" TargetMode="External"/><Relationship Id="rId91" Type="http://schemas.openxmlformats.org/officeDocument/2006/relationships/hyperlink" Target="http://en.wikipedia.org/wiki/Security_(finance)" TargetMode="External"/><Relationship Id="rId96" Type="http://schemas.openxmlformats.org/officeDocument/2006/relationships/hyperlink" Target="http://en.wikipedia.org/wiki/Interest" TargetMode="External"/><Relationship Id="rId111" Type="http://schemas.openxmlformats.org/officeDocument/2006/relationships/hyperlink" Target="http://en.wikipedia.org/wiki/Repurchase_agreement" TargetMode="External"/><Relationship Id="rId132" Type="http://schemas.openxmlformats.org/officeDocument/2006/relationships/hyperlink" Target="http://en.wikipedia.org/wiki/Primary_dealer" TargetMode="External"/><Relationship Id="rId140" Type="http://schemas.openxmlformats.org/officeDocument/2006/relationships/hyperlink" Target="http://en.wikipedia.org/wiki/Basel_II"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Bond_(finance)" TargetMode="External"/><Relationship Id="rId15" Type="http://schemas.openxmlformats.org/officeDocument/2006/relationships/hyperlink" Target="http://en.wikipedia.org/wiki/Withholding_tax" TargetMode="External"/><Relationship Id="rId23" Type="http://schemas.openxmlformats.org/officeDocument/2006/relationships/hyperlink" Target="http://en.wikipedia.org/w/index.php?title=Eurobond&amp;action=edit&amp;section=1" TargetMode="External"/><Relationship Id="rId28" Type="http://schemas.openxmlformats.org/officeDocument/2006/relationships/hyperlink" Target="http://en.wikipedia.org/wiki/Eurobond" TargetMode="External"/><Relationship Id="rId36" Type="http://schemas.openxmlformats.org/officeDocument/2006/relationships/hyperlink" Target="http://en.wikipedia.org/wiki/Agency_debt" TargetMode="External"/><Relationship Id="rId49" Type="http://schemas.openxmlformats.org/officeDocument/2006/relationships/hyperlink" Target="http://en.wikipedia.org/wiki/Convertible_bond" TargetMode="External"/><Relationship Id="rId57" Type="http://schemas.openxmlformats.org/officeDocument/2006/relationships/hyperlink" Target="http://en.wikipedia.org/wiki/Perpetual_bond" TargetMode="External"/><Relationship Id="rId106" Type="http://schemas.openxmlformats.org/officeDocument/2006/relationships/hyperlink" Target="http://en.wikipedia.org/wiki/Clearing_house_(finance)" TargetMode="External"/><Relationship Id="rId114" Type="http://schemas.openxmlformats.org/officeDocument/2006/relationships/hyperlink" Target="http://en.wikipedia.org/wiki/Securities_lending" TargetMode="External"/><Relationship Id="rId119" Type="http://schemas.openxmlformats.org/officeDocument/2006/relationships/hyperlink" Target="http://en.wikipedia.org/wiki/Money_fund" TargetMode="External"/><Relationship Id="rId127" Type="http://schemas.openxmlformats.org/officeDocument/2006/relationships/hyperlink" Target="http://en.wikipedia.org/wiki/Inflation_targeting" TargetMode="External"/><Relationship Id="rId10" Type="http://schemas.openxmlformats.org/officeDocument/2006/relationships/hyperlink" Target="http://en.wikipedia.org/wiki/Euroyen" TargetMode="External"/><Relationship Id="rId31" Type="http://schemas.openxmlformats.org/officeDocument/2006/relationships/hyperlink" Target="http://en.wikipedia.org/w/index.php?title=Template:Bond_market&amp;action=edit" TargetMode="External"/><Relationship Id="rId44" Type="http://schemas.openxmlformats.org/officeDocument/2006/relationships/hyperlink" Target="http://en.wikipedia.org/wiki/Sovereign_bond" TargetMode="External"/><Relationship Id="rId52" Type="http://schemas.openxmlformats.org/officeDocument/2006/relationships/hyperlink" Target="http://en.wikipedia.org/wiki/Fixed_rate_bond" TargetMode="External"/><Relationship Id="rId60" Type="http://schemas.openxmlformats.org/officeDocument/2006/relationships/hyperlink" Target="http://en.wikipedia.org/wiki/Bond_valuation" TargetMode="External"/><Relationship Id="rId65" Type="http://schemas.openxmlformats.org/officeDocument/2006/relationships/hyperlink" Target="http://en.wikipedia.org/wiki/Credit_spread_(bond)" TargetMode="External"/><Relationship Id="rId73" Type="http://schemas.openxmlformats.org/officeDocument/2006/relationships/hyperlink" Target="http://en.wikipedia.org/wiki/Z-spread" TargetMode="External"/><Relationship Id="rId78" Type="http://schemas.openxmlformats.org/officeDocument/2006/relationships/hyperlink" Target="http://en.wikipedia.org/wiki/Mortgage-backed_security" TargetMode="External"/><Relationship Id="rId81" Type="http://schemas.openxmlformats.org/officeDocument/2006/relationships/hyperlink" Target="http://en.wikipedia.org/wiki/Callable_bond" TargetMode="External"/><Relationship Id="rId86" Type="http://schemas.openxmlformats.org/officeDocument/2006/relationships/hyperlink" Target="http://en.wikipedia.org/wiki/Option-adjusted_spread" TargetMode="External"/><Relationship Id="rId94" Type="http://schemas.openxmlformats.org/officeDocument/2006/relationships/hyperlink" Target="http://en.wikipedia.org/wiki/Collateral_(finance)" TargetMode="External"/><Relationship Id="rId99" Type="http://schemas.openxmlformats.org/officeDocument/2006/relationships/hyperlink" Target="http://en.wikipedia.org/wiki/Spot_price" TargetMode="External"/><Relationship Id="rId101" Type="http://schemas.openxmlformats.org/officeDocument/2006/relationships/hyperlink" Target="http://en.wikipedia.org/wiki/Maturity_(finance)" TargetMode="External"/><Relationship Id="rId122" Type="http://schemas.openxmlformats.org/officeDocument/2006/relationships/hyperlink" Target="http://en.wikipedia.org/wiki/Federal_Open_Market_Committee" TargetMode="External"/><Relationship Id="rId130" Type="http://schemas.openxmlformats.org/officeDocument/2006/relationships/hyperlink" Target="http://en.wikipedia.org/wiki/Agency_security" TargetMode="External"/><Relationship Id="rId135" Type="http://schemas.openxmlformats.org/officeDocument/2006/relationships/hyperlink" Target="http://en.wikipedia.org/wiki/Great_depression" TargetMode="External"/><Relationship Id="rId143" Type="http://schemas.openxmlformats.org/officeDocument/2006/relationships/hyperlink" Target="http://en.wikipedia.org/wiki/Repurchase_agreement" TargetMode="External"/><Relationship Id="rId4" Type="http://schemas.openxmlformats.org/officeDocument/2006/relationships/webSettings" Target="webSettings.xml"/><Relationship Id="rId9" Type="http://schemas.openxmlformats.org/officeDocument/2006/relationships/hyperlink" Target="http://en.wikipedia.org/wiki/Tokyo" TargetMode="External"/><Relationship Id="rId13" Type="http://schemas.openxmlformats.org/officeDocument/2006/relationships/hyperlink" Target="http://en.wikipedia.org/wiki/Dollars" TargetMode="External"/><Relationship Id="rId18" Type="http://schemas.openxmlformats.org/officeDocument/2006/relationships/hyperlink" Target="http://en.wikipedia.org/wiki/S._G._Warburg_%26_Co." TargetMode="External"/><Relationship Id="rId39" Type="http://schemas.openxmlformats.org/officeDocument/2006/relationships/hyperlink" Target="http://en.wikipedia.org/wiki/Subordinated_debt" TargetMode="External"/><Relationship Id="rId109" Type="http://schemas.openxmlformats.org/officeDocument/2006/relationships/hyperlink" Target="http://en.wikipedia.org/wiki/JP_Morgan_Chase" TargetMode="External"/><Relationship Id="rId34" Type="http://schemas.openxmlformats.org/officeDocument/2006/relationships/hyperlink" Target="http://en.wikipedia.org/wiki/Debenture" TargetMode="External"/><Relationship Id="rId50" Type="http://schemas.openxmlformats.org/officeDocument/2006/relationships/hyperlink" Target="http://en.wikipedia.org/wiki/Exchangeable_bond" TargetMode="External"/><Relationship Id="rId55" Type="http://schemas.openxmlformats.org/officeDocument/2006/relationships/hyperlink" Target="http://en.wikipedia.org/wiki/Inflation-indexed_bond" TargetMode="External"/><Relationship Id="rId76" Type="http://schemas.openxmlformats.org/officeDocument/2006/relationships/hyperlink" Target="http://en.wikipedia.org/wiki/Collateralized_mortgage_obligation" TargetMode="External"/><Relationship Id="rId97" Type="http://schemas.openxmlformats.org/officeDocument/2006/relationships/hyperlink" Target="http://en.wikipedia.org/wiki/Forward_contract" TargetMode="External"/><Relationship Id="rId104" Type="http://schemas.openxmlformats.org/officeDocument/2006/relationships/hyperlink" Target="http://en.wikipedia.org/wiki/Coupon_(bond)" TargetMode="External"/><Relationship Id="rId120" Type="http://schemas.openxmlformats.org/officeDocument/2006/relationships/hyperlink" Target="http://en.wikipedia.org/wiki/Long_(finance)" TargetMode="External"/><Relationship Id="rId125" Type="http://schemas.openxmlformats.org/officeDocument/2006/relationships/hyperlink" Target="http://en.wikipedia.org/wiki/Bank_reserves" TargetMode="External"/><Relationship Id="rId141" Type="http://schemas.openxmlformats.org/officeDocument/2006/relationships/hyperlink" Target="http://en.wikipedia.org/wiki/Repurchase_agreement" TargetMode="External"/><Relationship Id="rId7" Type="http://schemas.openxmlformats.org/officeDocument/2006/relationships/hyperlink" Target="http://en.wikipedia.org/wiki/Currency" TargetMode="External"/><Relationship Id="rId71" Type="http://schemas.openxmlformats.org/officeDocument/2006/relationships/hyperlink" Target="http://en.wikipedia.org/wiki/Nominal_yield" TargetMode="External"/><Relationship Id="rId92" Type="http://schemas.openxmlformats.org/officeDocument/2006/relationships/hyperlink" Target="http://en.wikipedia.org/wiki/Lender" TargetMode="External"/><Relationship Id="rId2" Type="http://schemas.openxmlformats.org/officeDocument/2006/relationships/styles" Target="styles.xml"/><Relationship Id="rId29" Type="http://schemas.openxmlformats.org/officeDocument/2006/relationships/hyperlink" Target="http://en.wikipedia.org/wiki/Template:Bond_market" TargetMode="External"/><Relationship Id="rId24" Type="http://schemas.openxmlformats.org/officeDocument/2006/relationships/hyperlink" Target="http://en.wikipedia.org/wiki/Eurobond" TargetMode="External"/><Relationship Id="rId40" Type="http://schemas.openxmlformats.org/officeDocument/2006/relationships/hyperlink" Target="http://en.wikipedia.org/wiki/Distressed_debt" TargetMode="External"/><Relationship Id="rId45" Type="http://schemas.openxmlformats.org/officeDocument/2006/relationships/hyperlink" Target="http://en.wikipedia.org/wiki/Accrual_bond" TargetMode="External"/><Relationship Id="rId66" Type="http://schemas.openxmlformats.org/officeDocument/2006/relationships/hyperlink" Target="http://en.wikipedia.org/wiki/Current_yield" TargetMode="External"/><Relationship Id="rId87" Type="http://schemas.openxmlformats.org/officeDocument/2006/relationships/hyperlink" Target="http://en.wikipedia.org/wiki/Puttable_bond" TargetMode="External"/><Relationship Id="rId110" Type="http://schemas.openxmlformats.org/officeDocument/2006/relationships/hyperlink" Target="http://en.wikipedia.org/wiki/Financial_crisis_of_2007%E2%80%932010" TargetMode="External"/><Relationship Id="rId115" Type="http://schemas.openxmlformats.org/officeDocument/2006/relationships/hyperlink" Target="http://en.wikipedia.org/wiki/Repurchase_agreement" TargetMode="External"/><Relationship Id="rId131" Type="http://schemas.openxmlformats.org/officeDocument/2006/relationships/hyperlink" Target="http://en.wikipedia.org/wiki/Mortgage-backed_security" TargetMode="External"/><Relationship Id="rId136" Type="http://schemas.openxmlformats.org/officeDocument/2006/relationships/hyperlink" Target="http://en.wikipedia.org/wiki/Repurchase_agreement" TargetMode="External"/><Relationship Id="rId61" Type="http://schemas.openxmlformats.org/officeDocument/2006/relationships/hyperlink" Target="http://en.wikipedia.org/wiki/Clean_price" TargetMode="External"/><Relationship Id="rId82" Type="http://schemas.openxmlformats.org/officeDocument/2006/relationships/hyperlink" Target="http://en.wikipedia.org/wiki/Convertible_bond" TargetMode="External"/><Relationship Id="rId19" Type="http://schemas.openxmlformats.org/officeDocument/2006/relationships/hyperlink" Target="http://en.wikipedia.org/wiki/Eurobond" TargetMode="External"/><Relationship Id="rId14" Type="http://schemas.openxmlformats.org/officeDocument/2006/relationships/hyperlink" Target="http://en.wikipedia.org/wiki/Bearer_bond" TargetMode="External"/><Relationship Id="rId30" Type="http://schemas.openxmlformats.org/officeDocument/2006/relationships/hyperlink" Target="http://en.wikipedia.org/wiki/Template_talk:Bond_market" TargetMode="External"/><Relationship Id="rId35" Type="http://schemas.openxmlformats.org/officeDocument/2006/relationships/hyperlink" Target="http://en.wikipedia.org/wiki/Fixed_income" TargetMode="External"/><Relationship Id="rId56" Type="http://schemas.openxmlformats.org/officeDocument/2006/relationships/hyperlink" Target="http://en.wikipedia.org/wiki/Inverse_floating_rate_note" TargetMode="External"/><Relationship Id="rId77" Type="http://schemas.openxmlformats.org/officeDocument/2006/relationships/hyperlink" Target="http://en.wikipedia.org/wiki/Commercial_mortgage-backed_security" TargetMode="External"/><Relationship Id="rId100" Type="http://schemas.openxmlformats.org/officeDocument/2006/relationships/hyperlink" Target="http://en.wikipedia.org/wiki/Settlement_date" TargetMode="External"/><Relationship Id="rId105" Type="http://schemas.openxmlformats.org/officeDocument/2006/relationships/hyperlink" Target="http://en.wikipedia.org/wiki/Custodian_bank" TargetMode="External"/><Relationship Id="rId126" Type="http://schemas.openxmlformats.org/officeDocument/2006/relationships/hyperlink" Target="http://en.wikipedia.org/wiki/Federal_funds_rate" TargetMode="External"/><Relationship Id="rId8" Type="http://schemas.openxmlformats.org/officeDocument/2006/relationships/hyperlink" Target="http://en.wikipedia.org/wiki/Singapore" TargetMode="External"/><Relationship Id="rId51" Type="http://schemas.openxmlformats.org/officeDocument/2006/relationships/hyperlink" Target="http://en.wikipedia.org/wiki/Extendible_bond" TargetMode="External"/><Relationship Id="rId72" Type="http://schemas.openxmlformats.org/officeDocument/2006/relationships/hyperlink" Target="http://en.wikipedia.org/wiki/Yield_to_maturity" TargetMode="External"/><Relationship Id="rId93" Type="http://schemas.openxmlformats.org/officeDocument/2006/relationships/hyperlink" Target="http://en.wikipedia.org/wiki/Borrower" TargetMode="External"/><Relationship Id="rId98" Type="http://schemas.openxmlformats.org/officeDocument/2006/relationships/hyperlink" Target="http://en.wikipedia.org/wiki/Forward_price" TargetMode="External"/><Relationship Id="rId121" Type="http://schemas.openxmlformats.org/officeDocument/2006/relationships/hyperlink" Target="http://en.wikipedia.org/wiki/Market_maker" TargetMode="External"/><Relationship Id="rId142" Type="http://schemas.openxmlformats.org/officeDocument/2006/relationships/hyperlink" Target="http://en.wikipedia.org/wiki/Financial_crisis_of_2007%E2%80%93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ZEBRONIC</dc:creator>
  <cp:keywords/>
  <dc:description/>
  <cp:lastModifiedBy>ZEBRONIC</cp:lastModifiedBy>
  <cp:revision>2</cp:revision>
  <dcterms:created xsi:type="dcterms:W3CDTF">2011-10-12T17:26:00Z</dcterms:created>
  <dcterms:modified xsi:type="dcterms:W3CDTF">2011-10-12T17:41:00Z</dcterms:modified>
</cp:coreProperties>
</file>